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A8A" w:rsidRPr="00DD40A7" w:rsidRDefault="00507A8A" w:rsidP="00507A8A">
      <w:pPr>
        <w:pStyle w:val="a4"/>
        <w:tabs>
          <w:tab w:val="clear" w:pos="4153"/>
          <w:tab w:val="clear" w:pos="8306"/>
          <w:tab w:val="right" w:pos="10440"/>
          <w:tab w:val="right" w:pos="13323"/>
        </w:tabs>
        <w:rPr>
          <w:rFonts w:ascii="Arial" w:hAnsi="Arial" w:cs="Arial"/>
          <w:b/>
          <w:sz w:val="24"/>
          <w:szCs w:val="24"/>
          <w:lang w:eastAsia="ko-KR"/>
        </w:rPr>
      </w:pPr>
      <w:r w:rsidRPr="00277433">
        <w:rPr>
          <w:rFonts w:ascii="Arial" w:hAnsi="Arial" w:cs="Arial"/>
          <w:b/>
          <w:sz w:val="24"/>
          <w:szCs w:val="24"/>
        </w:rPr>
        <w:t xml:space="preserve">3GPP TSG-RAN WG4 Meeting </w:t>
      </w:r>
      <w:hyperlink r:id="rId8" w:history="1">
        <w:r w:rsidR="00F56741" w:rsidRPr="00E725E2">
          <w:rPr>
            <w:rFonts w:ascii="Arial" w:hAnsi="Arial" w:cs="Arial"/>
            <w:b/>
            <w:sz w:val="24"/>
            <w:szCs w:val="24"/>
          </w:rPr>
          <w:t>AH-1801</w:t>
        </w:r>
      </w:hyperlink>
      <w:r w:rsidR="00B022C7">
        <w:rPr>
          <w:rFonts w:ascii="Arial" w:hAnsi="Arial" w:cs="Arial"/>
          <w:b/>
          <w:sz w:val="24"/>
          <w:szCs w:val="24"/>
        </w:rPr>
        <w:t xml:space="preserve">                                                             </w:t>
      </w:r>
      <w:r w:rsidRPr="00277433">
        <w:rPr>
          <w:rFonts w:ascii="Arial" w:hAnsi="Arial" w:cs="Arial"/>
          <w:b/>
          <w:sz w:val="24"/>
          <w:szCs w:val="24"/>
        </w:rPr>
        <w:t>R4-1</w:t>
      </w:r>
      <w:r w:rsidR="00F56741">
        <w:rPr>
          <w:rFonts w:ascii="Arial" w:eastAsia="SimSun" w:hAnsi="Arial" w:cs="Arial"/>
          <w:b/>
          <w:sz w:val="24"/>
          <w:szCs w:val="24"/>
          <w:lang w:eastAsia="zh-CN"/>
        </w:rPr>
        <w:t>8</w:t>
      </w:r>
      <w:r w:rsidR="001D0154">
        <w:rPr>
          <w:rFonts w:ascii="Arial" w:hAnsi="Arial" w:cs="Arial"/>
          <w:b/>
          <w:sz w:val="24"/>
          <w:szCs w:val="24"/>
          <w:lang w:eastAsia="ko-KR"/>
        </w:rPr>
        <w:t>00516</w:t>
      </w:r>
      <w:bookmarkStart w:id="0" w:name="_GoBack"/>
      <w:bookmarkEnd w:id="0"/>
    </w:p>
    <w:p w:rsidR="00F56741" w:rsidRPr="00921C28" w:rsidRDefault="00F56741" w:rsidP="00F56741">
      <w:pPr>
        <w:pStyle w:val="a4"/>
        <w:tabs>
          <w:tab w:val="right" w:pos="9781"/>
        </w:tabs>
        <w:ind w:right="-58"/>
        <w:rPr>
          <w:rFonts w:ascii="Arial" w:hAnsi="Arial" w:cs="Arial"/>
          <w:b/>
          <w:bCs/>
          <w:color w:val="000000"/>
          <w:sz w:val="28"/>
        </w:rPr>
      </w:pPr>
      <w:r>
        <w:rPr>
          <w:rFonts w:ascii="Arial" w:hAnsi="Arial" w:cs="Arial"/>
          <w:b/>
          <w:bCs/>
          <w:sz w:val="24"/>
        </w:rPr>
        <w:t>San Diego</w:t>
      </w:r>
      <w:r w:rsidRPr="00C90793">
        <w:rPr>
          <w:rFonts w:ascii="Arial" w:hAnsi="Arial" w:cs="Arial"/>
          <w:b/>
          <w:bCs/>
          <w:sz w:val="24"/>
        </w:rPr>
        <w:t xml:space="preserve">, </w:t>
      </w:r>
      <w:r>
        <w:rPr>
          <w:rFonts w:ascii="Arial" w:hAnsi="Arial" w:cs="Arial"/>
          <w:b/>
          <w:bCs/>
          <w:sz w:val="24"/>
        </w:rPr>
        <w:t xml:space="preserve">California, U.S.A., 22 </w:t>
      </w:r>
      <w:r w:rsidRPr="00C90793">
        <w:rPr>
          <w:rFonts w:ascii="Arial" w:hAnsi="Arial" w:cs="Arial"/>
          <w:b/>
          <w:bCs/>
          <w:sz w:val="24"/>
        </w:rPr>
        <w:t xml:space="preserve">– </w:t>
      </w:r>
      <w:r>
        <w:rPr>
          <w:rFonts w:ascii="Arial" w:hAnsi="Arial" w:cs="Arial"/>
          <w:b/>
          <w:bCs/>
          <w:sz w:val="24"/>
        </w:rPr>
        <w:t>26 Jan.</w:t>
      </w:r>
      <w:r w:rsidRPr="00C90793">
        <w:rPr>
          <w:rFonts w:ascii="Arial" w:hAnsi="Arial" w:cs="Arial"/>
          <w:b/>
          <w:bCs/>
          <w:sz w:val="24"/>
        </w:rPr>
        <w:t>, 201</w:t>
      </w:r>
      <w:r>
        <w:rPr>
          <w:rFonts w:ascii="Arial" w:hAnsi="Arial" w:cs="Arial"/>
          <w:b/>
          <w:bCs/>
          <w:sz w:val="24"/>
        </w:rPr>
        <w:t>8</w:t>
      </w:r>
    </w:p>
    <w:p w:rsidR="00233E8F" w:rsidRPr="00F56741" w:rsidRDefault="00233E8F" w:rsidP="005B1EEE">
      <w:pPr>
        <w:tabs>
          <w:tab w:val="left" w:pos="2820"/>
        </w:tabs>
        <w:spacing w:after="120"/>
        <w:ind w:left="1985" w:hanging="1985"/>
        <w:rPr>
          <w:rFonts w:ascii="Arial" w:hAnsi="Arial" w:cs="Arial"/>
          <w:b/>
          <w:lang w:eastAsia="ko-KR"/>
        </w:rPr>
      </w:pPr>
    </w:p>
    <w:p w:rsidR="00B97031" w:rsidRPr="00B97031" w:rsidRDefault="00B97031" w:rsidP="00B97031">
      <w:pPr>
        <w:pStyle w:val="3"/>
        <w:keepNext w:val="0"/>
        <w:widowControl w:val="0"/>
        <w:tabs>
          <w:tab w:val="left" w:pos="360"/>
          <w:tab w:val="left" w:pos="1710"/>
        </w:tabs>
        <w:autoSpaceDE w:val="0"/>
        <w:autoSpaceDN w:val="0"/>
        <w:adjustRightInd w:val="0"/>
        <w:spacing w:before="0"/>
        <w:jc w:val="both"/>
        <w:rPr>
          <w:rFonts w:eastAsia="SimSun" w:cs="Arial"/>
          <w:b/>
          <w:bCs/>
          <w:color w:val="000000"/>
          <w:sz w:val="20"/>
          <w:lang w:val="en-US" w:eastAsia="zh-CN"/>
        </w:rPr>
      </w:pPr>
      <w:r w:rsidRPr="00B97031">
        <w:rPr>
          <w:rFonts w:eastAsia="SimSun" w:cs="Arial"/>
          <w:b/>
          <w:bCs/>
          <w:color w:val="000000"/>
          <w:sz w:val="20"/>
          <w:lang w:val="en-US" w:eastAsia="zh-CN"/>
        </w:rPr>
        <w:t>Agenda Item:</w:t>
      </w:r>
      <w:r w:rsidRPr="00B97031">
        <w:rPr>
          <w:rFonts w:eastAsia="SimSun" w:cs="Arial"/>
          <w:b/>
          <w:bCs/>
          <w:color w:val="000000"/>
          <w:sz w:val="20"/>
          <w:lang w:val="en-US" w:eastAsia="zh-CN"/>
        </w:rPr>
        <w:tab/>
      </w:r>
      <w:r w:rsidR="00F56741">
        <w:rPr>
          <w:rFonts w:cs="Arial" w:hint="eastAsia"/>
          <w:b/>
          <w:bCs/>
          <w:color w:val="000000"/>
          <w:sz w:val="20"/>
          <w:lang w:val="en-US" w:eastAsia="ko-KR"/>
        </w:rPr>
        <w:t>4</w:t>
      </w:r>
      <w:r w:rsidR="00C44447">
        <w:rPr>
          <w:rFonts w:cs="Arial" w:hint="eastAsia"/>
          <w:b/>
          <w:bCs/>
          <w:color w:val="000000"/>
          <w:sz w:val="20"/>
          <w:lang w:val="en-US" w:eastAsia="ko-KR"/>
        </w:rPr>
        <w:t>.</w:t>
      </w:r>
      <w:r w:rsidR="00507A8A">
        <w:rPr>
          <w:rFonts w:cs="Arial" w:hint="eastAsia"/>
          <w:b/>
          <w:bCs/>
          <w:color w:val="000000"/>
          <w:sz w:val="20"/>
          <w:lang w:val="en-US" w:eastAsia="ko-KR"/>
        </w:rPr>
        <w:t>3</w:t>
      </w:r>
      <w:r w:rsidR="00DB5634" w:rsidRPr="000721F5">
        <w:rPr>
          <w:rFonts w:cs="Arial" w:hint="eastAsia"/>
          <w:b/>
          <w:bCs/>
          <w:color w:val="000000"/>
          <w:sz w:val="20"/>
          <w:lang w:val="en-US" w:eastAsia="ko-KR"/>
        </w:rPr>
        <w:t>.</w:t>
      </w:r>
      <w:r w:rsidR="00C44447">
        <w:rPr>
          <w:rFonts w:cs="Arial"/>
          <w:b/>
          <w:bCs/>
          <w:color w:val="000000"/>
          <w:sz w:val="20"/>
          <w:lang w:val="en-US" w:eastAsia="ko-KR"/>
        </w:rPr>
        <w:t>1.2</w:t>
      </w:r>
    </w:p>
    <w:p w:rsidR="00B97031" w:rsidRPr="00B97031" w:rsidRDefault="00B97031" w:rsidP="00B97031">
      <w:pPr>
        <w:pStyle w:val="3"/>
        <w:keepNext w:val="0"/>
        <w:widowControl w:val="0"/>
        <w:tabs>
          <w:tab w:val="left" w:pos="360"/>
          <w:tab w:val="left" w:pos="1710"/>
        </w:tabs>
        <w:autoSpaceDE w:val="0"/>
        <w:autoSpaceDN w:val="0"/>
        <w:adjustRightInd w:val="0"/>
        <w:spacing w:before="0"/>
        <w:jc w:val="both"/>
        <w:rPr>
          <w:rFonts w:eastAsia="SimSun" w:cs="Arial"/>
          <w:b/>
          <w:bCs/>
          <w:color w:val="000000"/>
          <w:sz w:val="20"/>
          <w:lang w:val="en-US" w:eastAsia="zh-CN"/>
        </w:rPr>
      </w:pPr>
      <w:r w:rsidRPr="00B97031">
        <w:rPr>
          <w:rFonts w:eastAsia="SimSun" w:cs="Arial"/>
          <w:b/>
          <w:bCs/>
          <w:color w:val="000000"/>
          <w:sz w:val="20"/>
          <w:lang w:val="en-US" w:eastAsia="zh-CN"/>
        </w:rPr>
        <w:t>Source:</w:t>
      </w:r>
      <w:r w:rsidRPr="00B97031">
        <w:rPr>
          <w:rFonts w:eastAsia="SimSun" w:cs="Arial"/>
          <w:b/>
          <w:bCs/>
          <w:color w:val="000000"/>
          <w:sz w:val="20"/>
          <w:lang w:val="en-US" w:eastAsia="zh-CN"/>
        </w:rPr>
        <w:tab/>
        <w:t>LG Electronics</w:t>
      </w:r>
    </w:p>
    <w:p w:rsidR="00B97031" w:rsidRPr="00B97031" w:rsidRDefault="00B97031" w:rsidP="00B97031">
      <w:pPr>
        <w:pStyle w:val="3"/>
        <w:keepNext w:val="0"/>
        <w:widowControl w:val="0"/>
        <w:tabs>
          <w:tab w:val="left" w:pos="360"/>
          <w:tab w:val="left" w:pos="1710"/>
        </w:tabs>
        <w:autoSpaceDE w:val="0"/>
        <w:autoSpaceDN w:val="0"/>
        <w:adjustRightInd w:val="0"/>
        <w:spacing w:before="0"/>
        <w:jc w:val="both"/>
        <w:rPr>
          <w:rFonts w:eastAsia="SimSun" w:cs="Arial"/>
          <w:b/>
          <w:bCs/>
          <w:color w:val="000000"/>
          <w:sz w:val="20"/>
          <w:lang w:val="en-US" w:eastAsia="zh-CN"/>
        </w:rPr>
      </w:pPr>
      <w:r w:rsidRPr="00B97031">
        <w:rPr>
          <w:rFonts w:eastAsia="SimSun" w:cs="Arial"/>
          <w:b/>
          <w:bCs/>
          <w:color w:val="000000"/>
          <w:sz w:val="20"/>
          <w:lang w:val="en-US" w:eastAsia="zh-CN"/>
        </w:rPr>
        <w:t>Title:</w:t>
      </w:r>
      <w:r w:rsidRPr="00B97031">
        <w:rPr>
          <w:rFonts w:eastAsia="SimSun" w:cs="Arial"/>
          <w:b/>
          <w:bCs/>
          <w:color w:val="000000"/>
          <w:sz w:val="20"/>
          <w:lang w:val="en-US" w:eastAsia="zh-CN"/>
        </w:rPr>
        <w:tab/>
      </w:r>
      <w:r w:rsidR="00E62DED">
        <w:rPr>
          <w:rFonts w:eastAsiaTheme="minorEastAsia" w:cs="Arial"/>
          <w:b/>
          <w:bCs/>
          <w:color w:val="000000"/>
          <w:sz w:val="20"/>
          <w:lang w:val="en-US" w:eastAsia="ko-KR"/>
        </w:rPr>
        <w:t>Some clarifications</w:t>
      </w:r>
      <w:r w:rsidR="00B022C7">
        <w:rPr>
          <w:rFonts w:eastAsiaTheme="minorEastAsia" w:cs="Arial"/>
          <w:b/>
          <w:bCs/>
          <w:color w:val="000000"/>
          <w:sz w:val="20"/>
          <w:lang w:val="en-US" w:eastAsia="ko-KR"/>
        </w:rPr>
        <w:t xml:space="preserve"> </w:t>
      </w:r>
      <w:r w:rsidR="00F92BD7">
        <w:rPr>
          <w:rFonts w:eastAsia="SimSun" w:cs="Arial"/>
          <w:b/>
          <w:bCs/>
          <w:color w:val="000000"/>
          <w:sz w:val="20"/>
          <w:lang w:val="en-US" w:eastAsia="zh-CN"/>
        </w:rPr>
        <w:t xml:space="preserve">for </w:t>
      </w:r>
      <w:r>
        <w:rPr>
          <w:rFonts w:eastAsia="SimSun" w:cs="Arial"/>
          <w:b/>
          <w:bCs/>
          <w:color w:val="000000"/>
          <w:sz w:val="20"/>
          <w:lang w:val="en-US" w:eastAsia="zh-CN"/>
        </w:rPr>
        <w:t xml:space="preserve">wideband operation </w:t>
      </w:r>
      <w:r w:rsidR="00F92BD7">
        <w:rPr>
          <w:rFonts w:eastAsia="SimSun" w:cs="Arial"/>
          <w:b/>
          <w:bCs/>
          <w:color w:val="000000"/>
          <w:sz w:val="20"/>
          <w:lang w:val="en-US" w:eastAsia="zh-CN"/>
        </w:rPr>
        <w:t>of</w:t>
      </w:r>
      <w:r w:rsidRPr="00B97031">
        <w:rPr>
          <w:rFonts w:eastAsia="SimSun" w:cs="Arial"/>
          <w:b/>
          <w:bCs/>
          <w:color w:val="000000"/>
          <w:sz w:val="20"/>
          <w:lang w:val="en-US" w:eastAsia="zh-CN"/>
        </w:rPr>
        <w:t xml:space="preserve"> NR UE</w:t>
      </w:r>
    </w:p>
    <w:p w:rsidR="00B97031" w:rsidRPr="003A1883" w:rsidRDefault="00B97031" w:rsidP="00B97031">
      <w:pPr>
        <w:pBdr>
          <w:bottom w:val="single" w:sz="6" w:space="1" w:color="auto"/>
        </w:pBdr>
        <w:tabs>
          <w:tab w:val="left" w:pos="1710"/>
        </w:tabs>
        <w:spacing w:line="240" w:lineRule="exact"/>
        <w:rPr>
          <w:b/>
          <w:bCs/>
          <w:color w:val="000000"/>
          <w:lang w:val="en-US" w:eastAsia="zh-CN"/>
        </w:rPr>
      </w:pPr>
      <w:r w:rsidRPr="003A1883">
        <w:rPr>
          <w:rFonts w:ascii="Arial" w:hAnsi="Arial" w:cs="Arial"/>
          <w:b/>
          <w:bCs/>
          <w:color w:val="000000"/>
          <w:lang w:val="en-US"/>
        </w:rPr>
        <w:t>Document for:</w:t>
      </w:r>
      <w:r w:rsidRPr="003A1883">
        <w:rPr>
          <w:rFonts w:ascii="Arial" w:hAnsi="Arial" w:cs="Arial"/>
          <w:b/>
          <w:bCs/>
          <w:color w:val="000000"/>
          <w:lang w:val="en-US" w:eastAsia="zh-CN"/>
        </w:rPr>
        <w:tab/>
      </w:r>
      <w:r w:rsidR="00100EB1">
        <w:rPr>
          <w:rFonts w:ascii="Arial" w:eastAsia="바탕" w:hAnsi="Arial" w:cs="Arial"/>
          <w:b/>
          <w:bCs/>
          <w:color w:val="000000"/>
          <w:lang w:val="en-US" w:eastAsia="ko-KR"/>
        </w:rPr>
        <w:t>Approval</w:t>
      </w:r>
    </w:p>
    <w:p w:rsidR="00F60300" w:rsidRPr="009A493A" w:rsidRDefault="00B97031" w:rsidP="004806D5">
      <w:pPr>
        <w:pStyle w:val="1"/>
        <w:keepNext w:val="0"/>
        <w:widowControl w:val="0"/>
        <w:numPr>
          <w:ilvl w:val="0"/>
          <w:numId w:val="11"/>
        </w:numPr>
        <w:autoSpaceDE w:val="0"/>
        <w:autoSpaceDN w:val="0"/>
        <w:adjustRightInd w:val="0"/>
        <w:ind w:right="0"/>
        <w:jc w:val="both"/>
        <w:rPr>
          <w:rFonts w:ascii="Times New Roman" w:hAnsi="Times New Roman"/>
          <w:bCs/>
          <w:sz w:val="28"/>
          <w:szCs w:val="28"/>
          <w:lang w:val="en-US" w:eastAsia="ko-KR"/>
        </w:rPr>
      </w:pPr>
      <w:r w:rsidRPr="009A493A">
        <w:rPr>
          <w:rFonts w:ascii="Times New Roman" w:hAnsi="Times New Roman" w:hint="eastAsia"/>
          <w:bCs/>
          <w:sz w:val="28"/>
          <w:szCs w:val="28"/>
          <w:lang w:val="en-US" w:eastAsia="ko-KR"/>
        </w:rPr>
        <w:t>Introduction</w:t>
      </w:r>
    </w:p>
    <w:p w:rsidR="00E3194D" w:rsidRDefault="006566B1" w:rsidP="00B97031">
      <w:pPr>
        <w:widowControl w:val="0"/>
        <w:autoSpaceDE w:val="0"/>
        <w:autoSpaceDN w:val="0"/>
        <w:adjustRightInd w:val="0"/>
        <w:spacing w:after="120"/>
        <w:ind w:firstLine="432"/>
        <w:jc w:val="both"/>
        <w:rPr>
          <w:rFonts w:eastAsia="바탕"/>
          <w:sz w:val="22"/>
          <w:szCs w:val="22"/>
          <w:lang w:eastAsia="ko-KR"/>
        </w:rPr>
      </w:pPr>
      <w:bookmarkStart w:id="1" w:name="_Ref124589665"/>
      <w:bookmarkStart w:id="2" w:name="_Ref71620620"/>
      <w:bookmarkStart w:id="3" w:name="_Ref124671424"/>
      <w:r w:rsidRPr="00B97031">
        <w:rPr>
          <w:rFonts w:eastAsia="바탕"/>
          <w:sz w:val="22"/>
          <w:szCs w:val="22"/>
          <w:lang w:eastAsia="ko-KR"/>
        </w:rPr>
        <w:t xml:space="preserve">In the </w:t>
      </w:r>
      <w:r w:rsidR="00B97031" w:rsidRPr="00B97031">
        <w:rPr>
          <w:rFonts w:eastAsia="바탕"/>
          <w:sz w:val="22"/>
          <w:szCs w:val="22"/>
          <w:lang w:eastAsia="ko-KR"/>
        </w:rPr>
        <w:t xml:space="preserve">last </w:t>
      </w:r>
      <w:r w:rsidR="003F3C45">
        <w:rPr>
          <w:rFonts w:eastAsia="바탕"/>
          <w:sz w:val="22"/>
          <w:szCs w:val="22"/>
          <w:lang w:eastAsia="ko-KR"/>
        </w:rPr>
        <w:t>RAN4</w:t>
      </w:r>
      <w:r w:rsidR="00A548D6">
        <w:rPr>
          <w:rFonts w:eastAsia="바탕"/>
          <w:sz w:val="22"/>
          <w:szCs w:val="22"/>
          <w:lang w:eastAsia="ko-KR"/>
        </w:rPr>
        <w:t xml:space="preserve"> </w:t>
      </w:r>
      <w:r w:rsidRPr="00B97031">
        <w:rPr>
          <w:rFonts w:eastAsia="바탕"/>
          <w:sz w:val="22"/>
          <w:szCs w:val="22"/>
          <w:lang w:eastAsia="ko-KR"/>
        </w:rPr>
        <w:t>#</w:t>
      </w:r>
      <w:r w:rsidR="003F3C45">
        <w:rPr>
          <w:rFonts w:eastAsia="바탕"/>
          <w:sz w:val="22"/>
          <w:szCs w:val="22"/>
          <w:lang w:eastAsia="ko-KR"/>
        </w:rPr>
        <w:t>8</w:t>
      </w:r>
      <w:r w:rsidR="00892384">
        <w:rPr>
          <w:rFonts w:eastAsia="바탕"/>
          <w:sz w:val="22"/>
          <w:szCs w:val="22"/>
          <w:lang w:eastAsia="ko-KR"/>
        </w:rPr>
        <w:t>5</w:t>
      </w:r>
      <w:r w:rsidR="00A548D6">
        <w:rPr>
          <w:rFonts w:eastAsia="바탕"/>
          <w:sz w:val="22"/>
          <w:szCs w:val="22"/>
          <w:lang w:eastAsia="ko-KR"/>
        </w:rPr>
        <w:t xml:space="preserve"> </w:t>
      </w:r>
      <w:r w:rsidRPr="00B97031">
        <w:rPr>
          <w:rFonts w:eastAsia="바탕"/>
          <w:sz w:val="22"/>
          <w:szCs w:val="22"/>
          <w:lang w:eastAsia="ko-KR"/>
        </w:rPr>
        <w:t xml:space="preserve">meeting, </w:t>
      </w:r>
      <w:r w:rsidR="00957113">
        <w:rPr>
          <w:rFonts w:eastAsia="바탕" w:hint="eastAsia"/>
          <w:sz w:val="22"/>
          <w:szCs w:val="22"/>
          <w:lang w:eastAsia="ko-KR"/>
        </w:rPr>
        <w:t xml:space="preserve">spectral utilization for intra-band contiguous CA in wideband operation was </w:t>
      </w:r>
      <w:r w:rsidR="00892384">
        <w:rPr>
          <w:rFonts w:eastAsia="바탕"/>
          <w:sz w:val="22"/>
          <w:szCs w:val="22"/>
          <w:lang w:eastAsia="ko-KR"/>
        </w:rPr>
        <w:t>agreed</w:t>
      </w:r>
      <w:r w:rsidR="00957113">
        <w:rPr>
          <w:rFonts w:eastAsia="바탕" w:hint="eastAsia"/>
          <w:sz w:val="22"/>
          <w:szCs w:val="22"/>
          <w:lang w:eastAsia="ko-KR"/>
        </w:rPr>
        <w:t xml:space="preserve">, and </w:t>
      </w:r>
      <w:r w:rsidR="00892384">
        <w:rPr>
          <w:rFonts w:eastAsia="바탕"/>
          <w:sz w:val="22"/>
          <w:szCs w:val="22"/>
          <w:lang w:eastAsia="ko-KR"/>
        </w:rPr>
        <w:t xml:space="preserve">UE behaviour are decided to UE implementation </w:t>
      </w:r>
      <w:r w:rsidR="00E3194D" w:rsidRPr="00E3194D">
        <w:rPr>
          <w:rFonts w:eastAsia="바탕"/>
          <w:sz w:val="22"/>
          <w:szCs w:val="22"/>
          <w:lang w:eastAsia="ko-KR"/>
        </w:rPr>
        <w:t xml:space="preserve">according to set of UE </w:t>
      </w:r>
      <w:r w:rsidR="00892384">
        <w:rPr>
          <w:rFonts w:eastAsia="바탕"/>
          <w:sz w:val="22"/>
          <w:szCs w:val="22"/>
          <w:lang w:eastAsia="ko-KR"/>
        </w:rPr>
        <w:t>channel bandwidth</w:t>
      </w:r>
      <w:r w:rsidR="0001182F">
        <w:rPr>
          <w:rFonts w:eastAsia="바탕"/>
          <w:sz w:val="22"/>
          <w:szCs w:val="22"/>
          <w:lang w:eastAsia="ko-KR"/>
        </w:rPr>
        <w:t>[1]</w:t>
      </w:r>
      <w:r w:rsidR="00957113">
        <w:rPr>
          <w:rFonts w:eastAsia="바탕" w:hint="eastAsia"/>
          <w:sz w:val="22"/>
          <w:szCs w:val="22"/>
          <w:lang w:eastAsia="ko-KR"/>
        </w:rPr>
        <w:t xml:space="preserve">. </w:t>
      </w:r>
      <w:r w:rsidR="00892384">
        <w:rPr>
          <w:rFonts w:eastAsia="바탕"/>
          <w:sz w:val="22"/>
          <w:szCs w:val="22"/>
          <w:lang w:eastAsia="ko-KR"/>
        </w:rPr>
        <w:t xml:space="preserve">However, it is unclear how </w:t>
      </w:r>
      <w:r w:rsidR="00E3194D">
        <w:rPr>
          <w:rFonts w:eastAsia="바탕"/>
          <w:sz w:val="22"/>
          <w:szCs w:val="22"/>
          <w:lang w:eastAsia="ko-KR"/>
        </w:rPr>
        <w:t xml:space="preserve">UE save the power consumption to operate the allocated BWP when it is less than previous UE channel bandwidth. Also RAN plenary agree to will be start from 2Q 2018 for NR-NR CA with different numerologies. Therefore </w:t>
      </w:r>
      <w:r w:rsidR="0001182F">
        <w:rPr>
          <w:rFonts w:eastAsia="바탕"/>
          <w:sz w:val="22"/>
          <w:szCs w:val="22"/>
          <w:lang w:eastAsia="ko-KR"/>
        </w:rPr>
        <w:t>RAN4 should focus on the same numerology in multiple BWP for wideband operation as first priority in rel-15. Also UE capability issues should be finalized during this AH-1801 meeting based on agreed WF [1].</w:t>
      </w:r>
    </w:p>
    <w:p w:rsidR="00EC3FC2" w:rsidRPr="00B97031" w:rsidRDefault="0001182F" w:rsidP="00B97031">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t xml:space="preserve">Based on the agreement and current status, </w:t>
      </w:r>
      <w:r w:rsidR="00957113">
        <w:rPr>
          <w:rFonts w:eastAsia="바탕" w:hint="eastAsia"/>
          <w:sz w:val="22"/>
          <w:szCs w:val="22"/>
          <w:lang w:eastAsia="ko-KR"/>
        </w:rPr>
        <w:t>w</w:t>
      </w:r>
      <w:r>
        <w:rPr>
          <w:rFonts w:eastAsia="바탕" w:hint="eastAsia"/>
          <w:sz w:val="22"/>
          <w:szCs w:val="22"/>
          <w:lang w:eastAsia="ko-KR"/>
        </w:rPr>
        <w:t xml:space="preserve">e provide our </w:t>
      </w:r>
      <w:r>
        <w:rPr>
          <w:rFonts w:eastAsia="바탕"/>
          <w:sz w:val="22"/>
          <w:szCs w:val="22"/>
          <w:lang w:eastAsia="ko-KR"/>
        </w:rPr>
        <w:t xml:space="preserve">view on UE behaviour, different numerology priority and UE capability issues </w:t>
      </w:r>
      <w:r>
        <w:rPr>
          <w:rFonts w:eastAsia="바탕" w:hint="eastAsia"/>
          <w:sz w:val="22"/>
          <w:szCs w:val="22"/>
          <w:lang w:eastAsia="ko-KR"/>
        </w:rPr>
        <w:t xml:space="preserve">to </w:t>
      </w:r>
      <w:r>
        <w:rPr>
          <w:rFonts w:eastAsia="바탕"/>
          <w:sz w:val="22"/>
          <w:szCs w:val="22"/>
          <w:lang w:eastAsia="ko-KR"/>
        </w:rPr>
        <w:t xml:space="preserve">support wideband operation in rel-15. </w:t>
      </w:r>
    </w:p>
    <w:p w:rsidR="0033529D" w:rsidRDefault="0033529D" w:rsidP="002761C6">
      <w:pPr>
        <w:ind w:firstLineChars="100" w:firstLine="200"/>
        <w:jc w:val="both"/>
        <w:rPr>
          <w:rFonts w:eastAsia="바탕"/>
          <w:color w:val="000000"/>
          <w:kern w:val="2"/>
          <w:lang w:val="en-US" w:eastAsia="ko-KR"/>
        </w:rPr>
      </w:pPr>
    </w:p>
    <w:p w:rsidR="00535B06" w:rsidRPr="009A493A" w:rsidRDefault="0001182F" w:rsidP="004806D5">
      <w:pPr>
        <w:pStyle w:val="1"/>
        <w:keepNext w:val="0"/>
        <w:widowControl w:val="0"/>
        <w:numPr>
          <w:ilvl w:val="0"/>
          <w:numId w:val="11"/>
        </w:numPr>
        <w:autoSpaceDE w:val="0"/>
        <w:autoSpaceDN w:val="0"/>
        <w:adjustRightInd w:val="0"/>
        <w:ind w:right="0"/>
        <w:jc w:val="both"/>
        <w:rPr>
          <w:rFonts w:ascii="Times New Roman" w:hAnsi="Times New Roman"/>
          <w:bCs/>
          <w:sz w:val="28"/>
          <w:szCs w:val="28"/>
          <w:lang w:val="en-US" w:eastAsia="ko-KR"/>
        </w:rPr>
      </w:pPr>
      <w:r>
        <w:rPr>
          <w:rFonts w:ascii="Times New Roman" w:hAnsi="Times New Roman"/>
          <w:bCs/>
          <w:sz w:val="28"/>
          <w:szCs w:val="28"/>
          <w:lang w:val="en-US" w:eastAsia="ko-KR"/>
        </w:rPr>
        <w:t xml:space="preserve">UE behavior </w:t>
      </w:r>
      <w:r w:rsidR="00535B06" w:rsidRPr="009A493A">
        <w:rPr>
          <w:rFonts w:ascii="Times New Roman" w:hAnsi="Times New Roman"/>
          <w:bCs/>
          <w:sz w:val="28"/>
          <w:szCs w:val="28"/>
          <w:lang w:val="en-US" w:eastAsia="ko-KR"/>
        </w:rPr>
        <w:t xml:space="preserve">on </w:t>
      </w:r>
      <w:r w:rsidR="00892384">
        <w:rPr>
          <w:rFonts w:ascii="Times New Roman" w:hAnsi="Times New Roman"/>
          <w:bCs/>
          <w:sz w:val="28"/>
          <w:szCs w:val="28"/>
          <w:lang w:val="en-US" w:eastAsia="ko-KR"/>
        </w:rPr>
        <w:t>wideband operation</w:t>
      </w:r>
    </w:p>
    <w:p w:rsidR="00C553D3" w:rsidRDefault="00C553D3" w:rsidP="00B97031">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t>In last RAN4 meeting, UE behaviour are agreed in WF as below.</w:t>
      </w:r>
    </w:p>
    <w:p w:rsidR="000B6C3E" w:rsidRPr="00C553D3" w:rsidRDefault="00772613" w:rsidP="00C553D3">
      <w:pPr>
        <w:widowControl w:val="0"/>
        <w:numPr>
          <w:ilvl w:val="0"/>
          <w:numId w:val="22"/>
        </w:numPr>
        <w:autoSpaceDE w:val="0"/>
        <w:autoSpaceDN w:val="0"/>
        <w:adjustRightInd w:val="0"/>
        <w:jc w:val="both"/>
        <w:rPr>
          <w:rFonts w:eastAsia="바탕"/>
          <w:sz w:val="22"/>
          <w:szCs w:val="22"/>
          <w:lang w:val="en-US" w:eastAsia="ko-KR"/>
        </w:rPr>
      </w:pPr>
      <w:r w:rsidRPr="00C553D3">
        <w:rPr>
          <w:rFonts w:eastAsia="바탕"/>
          <w:sz w:val="22"/>
          <w:szCs w:val="22"/>
          <w:lang w:val="en-US" w:eastAsia="ko-KR"/>
        </w:rPr>
        <w:t>UE behavior</w:t>
      </w:r>
    </w:p>
    <w:p w:rsidR="000B6C3E" w:rsidRPr="00C553D3" w:rsidRDefault="00772613" w:rsidP="00C553D3">
      <w:pPr>
        <w:widowControl w:val="0"/>
        <w:numPr>
          <w:ilvl w:val="1"/>
          <w:numId w:val="22"/>
        </w:numPr>
        <w:autoSpaceDE w:val="0"/>
        <w:autoSpaceDN w:val="0"/>
        <w:adjustRightInd w:val="0"/>
        <w:jc w:val="both"/>
        <w:rPr>
          <w:rFonts w:eastAsia="바탕"/>
          <w:sz w:val="22"/>
          <w:szCs w:val="22"/>
          <w:lang w:val="en-US" w:eastAsia="ko-KR"/>
        </w:rPr>
      </w:pPr>
      <w:r w:rsidRPr="00C553D3">
        <w:rPr>
          <w:rFonts w:eastAsia="바탕"/>
          <w:sz w:val="22"/>
          <w:szCs w:val="22"/>
          <w:lang w:val="en-US" w:eastAsia="ko-KR"/>
        </w:rPr>
        <w:t>The UE meets RF requirements based on the according to set of UE CBW (no additional BWP related RF requirements)</w:t>
      </w:r>
    </w:p>
    <w:p w:rsidR="000B6C3E" w:rsidRPr="00C553D3" w:rsidRDefault="00772613" w:rsidP="00C553D3">
      <w:pPr>
        <w:widowControl w:val="0"/>
        <w:numPr>
          <w:ilvl w:val="2"/>
          <w:numId w:val="22"/>
        </w:numPr>
        <w:autoSpaceDE w:val="0"/>
        <w:autoSpaceDN w:val="0"/>
        <w:adjustRightInd w:val="0"/>
        <w:jc w:val="both"/>
        <w:rPr>
          <w:rFonts w:eastAsia="바탕"/>
          <w:sz w:val="22"/>
          <w:szCs w:val="22"/>
          <w:lang w:val="en-US" w:eastAsia="ko-KR"/>
        </w:rPr>
      </w:pPr>
      <w:r w:rsidRPr="00C553D3">
        <w:rPr>
          <w:rFonts w:eastAsia="바탕"/>
          <w:sz w:val="22"/>
          <w:szCs w:val="22"/>
          <w:lang w:val="en-US" w:eastAsia="ko-KR"/>
        </w:rPr>
        <w:t>FFS how to handle configured BWP bandwidth less than UE CBW</w:t>
      </w:r>
    </w:p>
    <w:p w:rsidR="000B6C3E" w:rsidRPr="00C553D3" w:rsidRDefault="00772613" w:rsidP="00C553D3">
      <w:pPr>
        <w:widowControl w:val="0"/>
        <w:numPr>
          <w:ilvl w:val="1"/>
          <w:numId w:val="22"/>
        </w:numPr>
        <w:autoSpaceDE w:val="0"/>
        <w:autoSpaceDN w:val="0"/>
        <w:adjustRightInd w:val="0"/>
        <w:jc w:val="both"/>
        <w:rPr>
          <w:rFonts w:eastAsia="바탕"/>
          <w:sz w:val="22"/>
          <w:szCs w:val="22"/>
          <w:lang w:val="en-US" w:eastAsia="ko-KR"/>
        </w:rPr>
      </w:pPr>
      <w:r w:rsidRPr="009D62E4">
        <w:rPr>
          <w:rFonts w:eastAsia="바탕"/>
          <w:sz w:val="22"/>
          <w:szCs w:val="22"/>
          <w:lang w:val="en-US" w:eastAsia="ko-KR"/>
        </w:rPr>
        <w:t>How the UE configures its RF in order to operate the BWP and meet the CBW based</w:t>
      </w:r>
      <w:r w:rsidRPr="009D62E4">
        <w:rPr>
          <w:rFonts w:eastAsia="바탕"/>
          <w:color w:val="FF0000"/>
          <w:sz w:val="22"/>
          <w:szCs w:val="22"/>
          <w:lang w:val="en-US" w:eastAsia="ko-KR"/>
        </w:rPr>
        <w:t xml:space="preserve"> RF requirements is implementation dependent</w:t>
      </w:r>
    </w:p>
    <w:p w:rsidR="00C553D3" w:rsidRPr="00C553D3" w:rsidRDefault="00C553D3" w:rsidP="00B97031">
      <w:pPr>
        <w:widowControl w:val="0"/>
        <w:autoSpaceDE w:val="0"/>
        <w:autoSpaceDN w:val="0"/>
        <w:adjustRightInd w:val="0"/>
        <w:spacing w:after="120"/>
        <w:ind w:firstLine="432"/>
        <w:jc w:val="both"/>
        <w:rPr>
          <w:rFonts w:eastAsia="바탕"/>
          <w:sz w:val="22"/>
          <w:szCs w:val="22"/>
          <w:lang w:val="en-US" w:eastAsia="ko-KR"/>
        </w:rPr>
      </w:pPr>
    </w:p>
    <w:p w:rsidR="00C553D3" w:rsidRDefault="00954746" w:rsidP="00B97031">
      <w:pPr>
        <w:widowControl w:val="0"/>
        <w:autoSpaceDE w:val="0"/>
        <w:autoSpaceDN w:val="0"/>
        <w:adjustRightInd w:val="0"/>
        <w:spacing w:after="120"/>
        <w:ind w:firstLine="432"/>
        <w:jc w:val="both"/>
        <w:rPr>
          <w:rFonts w:eastAsia="바탕"/>
          <w:sz w:val="22"/>
          <w:szCs w:val="22"/>
          <w:lang w:eastAsia="ko-KR"/>
        </w:rPr>
      </w:pPr>
      <w:r>
        <w:rPr>
          <w:rFonts w:eastAsia="바탕" w:hint="eastAsia"/>
          <w:sz w:val="22"/>
          <w:szCs w:val="22"/>
          <w:lang w:eastAsia="ko-KR"/>
        </w:rPr>
        <w:t xml:space="preserve">But this is not clear how to apply the </w:t>
      </w:r>
      <w:r>
        <w:rPr>
          <w:rFonts w:eastAsia="바탕"/>
          <w:sz w:val="22"/>
          <w:szCs w:val="22"/>
          <w:lang w:eastAsia="ko-KR"/>
        </w:rPr>
        <w:t xml:space="preserve">UE </w:t>
      </w:r>
      <w:r>
        <w:rPr>
          <w:rFonts w:eastAsia="바탕" w:hint="eastAsia"/>
          <w:sz w:val="22"/>
          <w:szCs w:val="22"/>
          <w:lang w:eastAsia="ko-KR"/>
        </w:rPr>
        <w:t>RF requirements for wideband operation.</w:t>
      </w:r>
      <w:r>
        <w:rPr>
          <w:rFonts w:eastAsia="바탕"/>
          <w:sz w:val="22"/>
          <w:szCs w:val="22"/>
          <w:lang w:eastAsia="ko-KR"/>
        </w:rPr>
        <w:t xml:space="preserve"> </w:t>
      </w:r>
    </w:p>
    <w:p w:rsidR="00851986" w:rsidRDefault="00954746" w:rsidP="00B97031">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t xml:space="preserve">Based on the agreements, </w:t>
      </w:r>
      <w:r w:rsidR="009D62E4">
        <w:rPr>
          <w:rFonts w:eastAsia="바탕"/>
          <w:sz w:val="22"/>
          <w:szCs w:val="22"/>
          <w:lang w:eastAsia="ko-KR"/>
        </w:rPr>
        <w:t>wideband operating</w:t>
      </w:r>
      <w:r>
        <w:rPr>
          <w:rFonts w:eastAsia="바탕"/>
          <w:sz w:val="22"/>
          <w:szCs w:val="22"/>
          <w:lang w:eastAsia="ko-KR"/>
        </w:rPr>
        <w:t xml:space="preserve"> UE can be operated as </w:t>
      </w:r>
      <w:r w:rsidR="00BF2598">
        <w:rPr>
          <w:rFonts w:eastAsia="바탕" w:hint="eastAsia"/>
          <w:sz w:val="22"/>
          <w:szCs w:val="22"/>
          <w:lang w:eastAsia="ko-KR"/>
        </w:rPr>
        <w:t xml:space="preserve">two options </w:t>
      </w:r>
      <w:r>
        <w:rPr>
          <w:rFonts w:eastAsia="바탕"/>
          <w:sz w:val="22"/>
          <w:szCs w:val="22"/>
          <w:lang w:eastAsia="ko-KR"/>
        </w:rPr>
        <w:t xml:space="preserve">which </w:t>
      </w:r>
      <w:r w:rsidR="00BF2598">
        <w:rPr>
          <w:rFonts w:eastAsia="바탕"/>
          <w:sz w:val="22"/>
          <w:szCs w:val="22"/>
          <w:lang w:eastAsia="ko-KR"/>
        </w:rPr>
        <w:t xml:space="preserve">are considered </w:t>
      </w:r>
      <w:r w:rsidR="00BF2598">
        <w:rPr>
          <w:rFonts w:eastAsia="바탕" w:hint="eastAsia"/>
          <w:sz w:val="22"/>
          <w:szCs w:val="22"/>
          <w:lang w:eastAsia="ko-KR"/>
        </w:rPr>
        <w:t xml:space="preserve">for </w:t>
      </w:r>
      <w:r w:rsidR="00BF2598">
        <w:rPr>
          <w:rFonts w:eastAsia="바탕"/>
          <w:sz w:val="22"/>
          <w:szCs w:val="22"/>
          <w:lang w:eastAsia="ko-KR"/>
        </w:rPr>
        <w:t xml:space="preserve">UE behaviour </w:t>
      </w:r>
      <w:r w:rsidR="00851986">
        <w:rPr>
          <w:rFonts w:eastAsia="바탕" w:hint="eastAsia"/>
          <w:sz w:val="22"/>
          <w:szCs w:val="22"/>
          <w:lang w:eastAsia="ko-KR"/>
        </w:rPr>
        <w:t>as follows:</w:t>
      </w:r>
    </w:p>
    <w:p w:rsidR="00BF2598" w:rsidRDefault="00E176C8" w:rsidP="00FC1DB2">
      <w:pPr>
        <w:widowControl w:val="0"/>
        <w:autoSpaceDE w:val="0"/>
        <w:autoSpaceDN w:val="0"/>
        <w:adjustRightInd w:val="0"/>
        <w:spacing w:after="120"/>
        <w:rPr>
          <w:rFonts w:eastAsia="바탕"/>
          <w:sz w:val="22"/>
          <w:szCs w:val="22"/>
          <w:lang w:eastAsia="ko-KR"/>
        </w:rPr>
      </w:pPr>
      <w:r w:rsidRPr="00E176C8">
        <w:rPr>
          <w:rFonts w:eastAsia="바탕"/>
          <w:noProof/>
          <w:sz w:val="22"/>
          <w:szCs w:val="22"/>
          <w:lang w:val="en-US" w:eastAsia="ko-KR"/>
        </w:rPr>
        <w:drawing>
          <wp:inline distT="0" distB="0" distL="0" distR="0" wp14:anchorId="4CE53393" wp14:editId="683802CA">
            <wp:extent cx="6264275" cy="2220595"/>
            <wp:effectExtent l="0" t="0" r="3175" b="0"/>
            <wp:docPr id="21"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pic:cNvPicPr>
                      <a:picLocks noChangeAspect="1"/>
                    </pic:cNvPicPr>
                  </pic:nvPicPr>
                  <pic:blipFill>
                    <a:blip r:embed="rId9"/>
                    <a:stretch>
                      <a:fillRect/>
                    </a:stretch>
                  </pic:blipFill>
                  <pic:spPr>
                    <a:xfrm>
                      <a:off x="0" y="0"/>
                      <a:ext cx="6264275" cy="2220595"/>
                    </a:xfrm>
                    <a:prstGeom prst="rect">
                      <a:avLst/>
                    </a:prstGeom>
                  </pic:spPr>
                </pic:pic>
              </a:graphicData>
            </a:graphic>
          </wp:inline>
        </w:drawing>
      </w:r>
    </w:p>
    <w:p w:rsidR="00FC1DB2" w:rsidRDefault="00ED2C37" w:rsidP="00FC1DB2">
      <w:pPr>
        <w:widowControl w:val="0"/>
        <w:autoSpaceDE w:val="0"/>
        <w:autoSpaceDN w:val="0"/>
        <w:adjustRightInd w:val="0"/>
        <w:spacing w:after="120"/>
        <w:ind w:firstLineChars="950" w:firstLine="2090"/>
        <w:jc w:val="both"/>
        <w:rPr>
          <w:rFonts w:eastAsia="바탕"/>
          <w:sz w:val="22"/>
          <w:szCs w:val="22"/>
          <w:lang w:eastAsia="ko-KR"/>
        </w:rPr>
      </w:pPr>
      <w:r>
        <w:rPr>
          <w:rFonts w:eastAsia="바탕" w:hint="eastAsia"/>
          <w:sz w:val="22"/>
          <w:szCs w:val="22"/>
          <w:lang w:eastAsia="ko-KR"/>
        </w:rPr>
        <w:t xml:space="preserve">&lt;Option1 operation &gt; </w:t>
      </w:r>
      <w:r w:rsidR="00FC1DB2">
        <w:rPr>
          <w:rFonts w:eastAsia="바탕"/>
          <w:sz w:val="22"/>
          <w:szCs w:val="22"/>
          <w:lang w:eastAsia="ko-KR"/>
        </w:rPr>
        <w:t xml:space="preserve">                                                         </w:t>
      </w:r>
      <w:r w:rsidR="00FC1DB2">
        <w:rPr>
          <w:rFonts w:eastAsia="바탕" w:hint="eastAsia"/>
          <w:sz w:val="22"/>
          <w:szCs w:val="22"/>
          <w:lang w:eastAsia="ko-KR"/>
        </w:rPr>
        <w:t xml:space="preserve">&lt;Option2 operation &gt; </w:t>
      </w:r>
    </w:p>
    <w:p w:rsidR="0094097E" w:rsidRDefault="00431A4A" w:rsidP="00431A4A">
      <w:pPr>
        <w:pStyle w:val="af1"/>
        <w:tabs>
          <w:tab w:val="center" w:pos="4932"/>
          <w:tab w:val="left" w:pos="9020"/>
        </w:tabs>
        <w:ind w:leftChars="0" w:left="0"/>
        <w:jc w:val="left"/>
        <w:rPr>
          <w:b/>
        </w:rPr>
      </w:pPr>
      <w:r>
        <w:rPr>
          <w:b/>
        </w:rPr>
        <w:tab/>
      </w:r>
      <w:r w:rsidR="0094097E">
        <w:rPr>
          <w:b/>
        </w:rPr>
        <w:t>Figure</w:t>
      </w:r>
      <w:r w:rsidR="0094097E" w:rsidRPr="00AA432F">
        <w:rPr>
          <w:b/>
        </w:rPr>
        <w:t xml:space="preserve"> </w:t>
      </w:r>
      <w:r w:rsidR="0094097E">
        <w:rPr>
          <w:b/>
        </w:rPr>
        <w:t>1</w:t>
      </w:r>
      <w:r w:rsidR="0094097E" w:rsidRPr="00AA432F">
        <w:rPr>
          <w:b/>
        </w:rPr>
        <w:t xml:space="preserve">: </w:t>
      </w:r>
      <w:r w:rsidR="0094097E">
        <w:rPr>
          <w:b/>
        </w:rPr>
        <w:t>UE behavior for wideband operation to apply UE RF requirements</w:t>
      </w:r>
      <w:r>
        <w:rPr>
          <w:b/>
        </w:rPr>
        <w:tab/>
      </w:r>
    </w:p>
    <w:p w:rsidR="00BF2598" w:rsidRPr="0094097E" w:rsidRDefault="00BF2598" w:rsidP="00B97031">
      <w:pPr>
        <w:widowControl w:val="0"/>
        <w:autoSpaceDE w:val="0"/>
        <w:autoSpaceDN w:val="0"/>
        <w:adjustRightInd w:val="0"/>
        <w:spacing w:after="120"/>
        <w:ind w:firstLine="432"/>
        <w:jc w:val="both"/>
        <w:rPr>
          <w:rFonts w:eastAsia="바탕"/>
          <w:sz w:val="22"/>
          <w:szCs w:val="22"/>
          <w:lang w:val="en-US" w:eastAsia="ko-KR"/>
        </w:rPr>
      </w:pPr>
    </w:p>
    <w:p w:rsidR="00851986" w:rsidRDefault="00851986" w:rsidP="00851986">
      <w:pPr>
        <w:widowControl w:val="0"/>
        <w:numPr>
          <w:ilvl w:val="0"/>
          <w:numId w:val="18"/>
        </w:numPr>
        <w:autoSpaceDE w:val="0"/>
        <w:autoSpaceDN w:val="0"/>
        <w:adjustRightInd w:val="0"/>
        <w:spacing w:after="120"/>
        <w:ind w:left="993" w:hanging="161"/>
        <w:jc w:val="both"/>
        <w:rPr>
          <w:rFonts w:eastAsia="바탕"/>
          <w:sz w:val="22"/>
          <w:szCs w:val="22"/>
          <w:lang w:val="en-US" w:eastAsia="ko-KR"/>
        </w:rPr>
      </w:pPr>
      <w:r w:rsidRPr="00851986">
        <w:rPr>
          <w:rFonts w:eastAsia="바탕"/>
          <w:sz w:val="22"/>
          <w:szCs w:val="22"/>
          <w:lang w:val="en-US" w:eastAsia="ko-KR"/>
        </w:rPr>
        <w:lastRenderedPageBreak/>
        <w:t xml:space="preserve">Option1: </w:t>
      </w:r>
      <w:r w:rsidR="00BF2598">
        <w:rPr>
          <w:rFonts w:eastAsia="바탕"/>
          <w:sz w:val="22"/>
          <w:szCs w:val="22"/>
          <w:lang w:val="en-US" w:eastAsia="ko-KR"/>
        </w:rPr>
        <w:t xml:space="preserve">Do not change the operating </w:t>
      </w:r>
      <w:r w:rsidR="00ED2C37">
        <w:rPr>
          <w:rFonts w:eastAsia="바탕"/>
          <w:sz w:val="22"/>
          <w:szCs w:val="22"/>
          <w:lang w:val="en-US" w:eastAsia="ko-KR"/>
        </w:rPr>
        <w:t>UE CBW</w:t>
      </w:r>
      <w:r w:rsidR="00BF2598">
        <w:rPr>
          <w:rFonts w:eastAsia="바탕"/>
          <w:sz w:val="22"/>
          <w:szCs w:val="22"/>
          <w:lang w:val="en-US" w:eastAsia="ko-KR"/>
        </w:rPr>
        <w:t xml:space="preserve"> </w:t>
      </w:r>
      <w:r w:rsidR="00E62DED">
        <w:rPr>
          <w:rFonts w:eastAsia="바탕"/>
          <w:sz w:val="22"/>
          <w:szCs w:val="22"/>
          <w:lang w:val="en-US" w:eastAsia="ko-KR"/>
        </w:rPr>
        <w:t>even if</w:t>
      </w:r>
      <w:r w:rsidR="00BF2598">
        <w:rPr>
          <w:rFonts w:eastAsia="바탕"/>
          <w:sz w:val="22"/>
          <w:szCs w:val="22"/>
          <w:lang w:val="en-US" w:eastAsia="ko-KR"/>
        </w:rPr>
        <w:t xml:space="preserve"> the new allocated BWP is less than UE CBW</w:t>
      </w:r>
    </w:p>
    <w:p w:rsidR="00851986" w:rsidRPr="00851986" w:rsidRDefault="00851986" w:rsidP="00851986">
      <w:pPr>
        <w:widowControl w:val="0"/>
        <w:numPr>
          <w:ilvl w:val="0"/>
          <w:numId w:val="19"/>
        </w:numPr>
        <w:autoSpaceDE w:val="0"/>
        <w:autoSpaceDN w:val="0"/>
        <w:adjustRightInd w:val="0"/>
        <w:spacing w:after="120"/>
        <w:ind w:left="1418" w:hanging="284"/>
        <w:jc w:val="both"/>
        <w:rPr>
          <w:rFonts w:eastAsia="바탕"/>
          <w:sz w:val="22"/>
          <w:szCs w:val="22"/>
          <w:lang w:val="en-US" w:eastAsia="ko-KR"/>
        </w:rPr>
      </w:pPr>
      <w:r w:rsidRPr="00851986">
        <w:rPr>
          <w:rFonts w:eastAsia="바탕"/>
          <w:sz w:val="22"/>
          <w:szCs w:val="22"/>
          <w:lang w:val="en-US" w:eastAsia="ko-KR"/>
        </w:rPr>
        <w:t xml:space="preserve">E.g. </w:t>
      </w:r>
      <w:r w:rsidR="00FC1DB2">
        <w:rPr>
          <w:rFonts w:eastAsia="바탕"/>
          <w:sz w:val="22"/>
          <w:szCs w:val="22"/>
          <w:lang w:val="en-US" w:eastAsia="ko-KR"/>
        </w:rPr>
        <w:t>UE1 each CC</w:t>
      </w:r>
      <w:r w:rsidR="00ED2C37">
        <w:rPr>
          <w:rFonts w:eastAsia="바탕"/>
          <w:sz w:val="22"/>
          <w:szCs w:val="22"/>
          <w:lang w:val="en-US" w:eastAsia="ko-KR"/>
        </w:rPr>
        <w:t>’s CBW</w:t>
      </w:r>
      <w:r w:rsidR="00FC1DB2">
        <w:rPr>
          <w:rFonts w:eastAsia="바탕"/>
          <w:sz w:val="22"/>
          <w:szCs w:val="22"/>
          <w:lang w:val="en-US" w:eastAsia="ko-KR"/>
        </w:rPr>
        <w:t>s are ke</w:t>
      </w:r>
      <w:r w:rsidR="00ED2C37">
        <w:rPr>
          <w:rFonts w:eastAsia="바탕"/>
          <w:sz w:val="22"/>
          <w:szCs w:val="22"/>
          <w:lang w:val="en-US" w:eastAsia="ko-KR"/>
        </w:rPr>
        <w:t>p</w:t>
      </w:r>
      <w:r w:rsidR="00FC1DB2">
        <w:rPr>
          <w:rFonts w:eastAsia="바탕"/>
          <w:sz w:val="22"/>
          <w:szCs w:val="22"/>
          <w:lang w:val="en-US" w:eastAsia="ko-KR"/>
        </w:rPr>
        <w:t>t</w:t>
      </w:r>
      <w:r w:rsidR="00ED2C37">
        <w:rPr>
          <w:rFonts w:eastAsia="바탕"/>
          <w:sz w:val="22"/>
          <w:szCs w:val="22"/>
          <w:lang w:val="en-US" w:eastAsia="ko-KR"/>
        </w:rPr>
        <w:t xml:space="preserve"> and UE RF requirements will be applied with larger CBW than allocated BWP</w:t>
      </w:r>
    </w:p>
    <w:p w:rsidR="00851986" w:rsidRPr="00851986" w:rsidRDefault="00851986" w:rsidP="00851986">
      <w:pPr>
        <w:widowControl w:val="0"/>
        <w:numPr>
          <w:ilvl w:val="0"/>
          <w:numId w:val="18"/>
        </w:numPr>
        <w:autoSpaceDE w:val="0"/>
        <w:autoSpaceDN w:val="0"/>
        <w:adjustRightInd w:val="0"/>
        <w:spacing w:after="120"/>
        <w:ind w:left="993" w:hanging="161"/>
        <w:jc w:val="both"/>
        <w:rPr>
          <w:rFonts w:eastAsia="바탕"/>
          <w:sz w:val="22"/>
          <w:szCs w:val="22"/>
          <w:lang w:val="en-US" w:eastAsia="ko-KR"/>
        </w:rPr>
      </w:pPr>
      <w:r w:rsidRPr="00851986">
        <w:rPr>
          <w:rFonts w:eastAsia="바탕"/>
          <w:sz w:val="22"/>
          <w:szCs w:val="22"/>
          <w:lang w:val="en-US" w:eastAsia="ko-KR"/>
        </w:rPr>
        <w:t xml:space="preserve">Option2: </w:t>
      </w:r>
      <w:r w:rsidR="00FC1DB2">
        <w:rPr>
          <w:rFonts w:eastAsia="바탕"/>
          <w:sz w:val="22"/>
          <w:szCs w:val="22"/>
          <w:lang w:val="en-US" w:eastAsia="ko-KR"/>
        </w:rPr>
        <w:t>C</w:t>
      </w:r>
      <w:r w:rsidR="00ED2C37">
        <w:rPr>
          <w:rFonts w:eastAsia="바탕"/>
          <w:sz w:val="22"/>
          <w:szCs w:val="22"/>
          <w:lang w:val="en-US" w:eastAsia="ko-KR"/>
        </w:rPr>
        <w:t xml:space="preserve">hanged the operating UE CBW according to the new allocated BWP </w:t>
      </w:r>
    </w:p>
    <w:p w:rsidR="00851986" w:rsidRDefault="00851986" w:rsidP="00851986">
      <w:pPr>
        <w:widowControl w:val="0"/>
        <w:numPr>
          <w:ilvl w:val="0"/>
          <w:numId w:val="19"/>
        </w:numPr>
        <w:autoSpaceDE w:val="0"/>
        <w:autoSpaceDN w:val="0"/>
        <w:adjustRightInd w:val="0"/>
        <w:spacing w:after="120"/>
        <w:ind w:left="1418" w:hanging="284"/>
        <w:jc w:val="both"/>
        <w:rPr>
          <w:rFonts w:eastAsia="바탕"/>
          <w:sz w:val="22"/>
          <w:szCs w:val="22"/>
          <w:lang w:val="en-US" w:eastAsia="ko-KR"/>
        </w:rPr>
      </w:pPr>
      <w:r w:rsidRPr="00851986">
        <w:rPr>
          <w:rFonts w:eastAsia="바탕"/>
          <w:sz w:val="22"/>
          <w:szCs w:val="22"/>
          <w:lang w:val="en-US" w:eastAsia="ko-KR"/>
        </w:rPr>
        <w:t xml:space="preserve">E.g. </w:t>
      </w:r>
      <w:r w:rsidR="00FC1DB2">
        <w:rPr>
          <w:rFonts w:eastAsia="바탕"/>
          <w:sz w:val="22"/>
          <w:szCs w:val="22"/>
          <w:lang w:val="en-US" w:eastAsia="ko-KR"/>
        </w:rPr>
        <w:t xml:space="preserve">UE1 each CC’s CBWs are adopted based on allocated BWP and UE RF requirements will be applied with </w:t>
      </w:r>
      <w:r w:rsidR="009D62E4">
        <w:rPr>
          <w:rFonts w:eastAsia="바탕"/>
          <w:sz w:val="22"/>
          <w:szCs w:val="22"/>
          <w:lang w:val="en-US" w:eastAsia="ko-KR"/>
        </w:rPr>
        <w:t xml:space="preserve">the </w:t>
      </w:r>
      <w:r w:rsidR="00FC1DB2">
        <w:rPr>
          <w:rFonts w:eastAsia="바탕"/>
          <w:sz w:val="22"/>
          <w:szCs w:val="22"/>
          <w:lang w:val="en-US" w:eastAsia="ko-KR"/>
        </w:rPr>
        <w:t>changed CBW</w:t>
      </w:r>
    </w:p>
    <w:p w:rsidR="000B361B" w:rsidRDefault="00851986" w:rsidP="000B361B">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t>B</w:t>
      </w:r>
      <w:r w:rsidR="00C553D3">
        <w:rPr>
          <w:rFonts w:eastAsia="바탕" w:hint="eastAsia"/>
          <w:sz w:val="22"/>
          <w:szCs w:val="22"/>
          <w:lang w:eastAsia="ko-KR"/>
        </w:rPr>
        <w:t>asical</w:t>
      </w:r>
      <w:r w:rsidR="00E62DED">
        <w:rPr>
          <w:rFonts w:eastAsia="바탕" w:hint="eastAsia"/>
          <w:sz w:val="22"/>
          <w:szCs w:val="22"/>
          <w:lang w:eastAsia="ko-KR"/>
        </w:rPr>
        <w:t xml:space="preserve">ly, option2 UE behaviour can </w:t>
      </w:r>
      <w:r w:rsidR="00C553D3">
        <w:rPr>
          <w:rFonts w:eastAsia="바탕" w:hint="eastAsia"/>
          <w:sz w:val="22"/>
          <w:szCs w:val="22"/>
          <w:lang w:eastAsia="ko-KR"/>
        </w:rPr>
        <w:t xml:space="preserve">reduce the power </w:t>
      </w:r>
      <w:r w:rsidR="00C553D3">
        <w:rPr>
          <w:rFonts w:eastAsia="바탕"/>
          <w:sz w:val="22"/>
          <w:szCs w:val="22"/>
          <w:lang w:eastAsia="ko-KR"/>
        </w:rPr>
        <w:t xml:space="preserve">consumption to </w:t>
      </w:r>
      <w:r>
        <w:rPr>
          <w:rFonts w:eastAsia="바탕" w:hint="eastAsia"/>
          <w:sz w:val="22"/>
          <w:szCs w:val="22"/>
          <w:lang w:eastAsia="ko-KR"/>
        </w:rPr>
        <w:t>support</w:t>
      </w:r>
      <w:r w:rsidR="000B361B">
        <w:rPr>
          <w:rFonts w:eastAsia="바탕" w:hint="eastAsia"/>
          <w:sz w:val="22"/>
          <w:szCs w:val="22"/>
          <w:lang w:eastAsia="ko-KR"/>
        </w:rPr>
        <w:t>s</w:t>
      </w:r>
      <w:r>
        <w:rPr>
          <w:rFonts w:eastAsia="바탕" w:hint="eastAsia"/>
          <w:sz w:val="22"/>
          <w:szCs w:val="22"/>
          <w:lang w:eastAsia="ko-KR"/>
        </w:rPr>
        <w:t xml:space="preserve"> </w:t>
      </w:r>
      <w:r w:rsidR="00C553D3">
        <w:rPr>
          <w:rFonts w:eastAsia="바탕"/>
          <w:sz w:val="22"/>
          <w:szCs w:val="22"/>
          <w:lang w:eastAsia="ko-KR"/>
        </w:rPr>
        <w:t xml:space="preserve">the allocated BWP operation compare to option 1 behaviour. This is based on PA power consumption and DAC operation according to UE CBW. Also the option 2 operation can be reduced the baseband statistical computation as demodulation perspective. </w:t>
      </w:r>
      <w:r>
        <w:rPr>
          <w:rFonts w:eastAsia="바탕" w:hint="eastAsia"/>
          <w:sz w:val="22"/>
          <w:szCs w:val="22"/>
          <w:lang w:eastAsia="ko-KR"/>
        </w:rPr>
        <w:t xml:space="preserve">So, RAN4 can define </w:t>
      </w:r>
      <w:r w:rsidR="009D62E4">
        <w:rPr>
          <w:rFonts w:eastAsia="바탕"/>
          <w:sz w:val="22"/>
          <w:szCs w:val="22"/>
          <w:lang w:eastAsia="ko-KR"/>
        </w:rPr>
        <w:t xml:space="preserve">the </w:t>
      </w:r>
      <w:r>
        <w:rPr>
          <w:rFonts w:eastAsia="바탕"/>
          <w:sz w:val="22"/>
          <w:szCs w:val="22"/>
          <w:lang w:eastAsia="ko-KR"/>
        </w:rPr>
        <w:t>default</w:t>
      </w:r>
      <w:r>
        <w:rPr>
          <w:rFonts w:eastAsia="바탕" w:hint="eastAsia"/>
          <w:sz w:val="22"/>
          <w:szCs w:val="22"/>
          <w:lang w:eastAsia="ko-KR"/>
        </w:rPr>
        <w:t xml:space="preserve"> </w:t>
      </w:r>
      <w:r w:rsidR="009D62E4">
        <w:rPr>
          <w:rFonts w:eastAsia="바탕"/>
          <w:sz w:val="22"/>
          <w:szCs w:val="22"/>
          <w:lang w:eastAsia="ko-KR"/>
        </w:rPr>
        <w:t xml:space="preserve">UE behaviour is option 2 in Figure1 to save the power consumption. </w:t>
      </w:r>
      <w:r w:rsidR="009D62E4">
        <w:rPr>
          <w:rFonts w:eastAsia="바탕" w:hint="eastAsia"/>
          <w:sz w:val="22"/>
          <w:szCs w:val="22"/>
          <w:lang w:eastAsia="ko-KR"/>
        </w:rPr>
        <w:t>A</w:t>
      </w:r>
      <w:r>
        <w:rPr>
          <w:rFonts w:eastAsia="바탕" w:hint="eastAsia"/>
          <w:sz w:val="22"/>
          <w:szCs w:val="22"/>
          <w:lang w:eastAsia="ko-KR"/>
        </w:rPr>
        <w:t xml:space="preserve">nd </w:t>
      </w:r>
      <w:r w:rsidR="009D62E4">
        <w:rPr>
          <w:rFonts w:eastAsia="바탕"/>
          <w:sz w:val="22"/>
          <w:szCs w:val="22"/>
          <w:lang w:eastAsia="ko-KR"/>
        </w:rPr>
        <w:t>the option 1 behaviour can be supported by UE capability in rel-15</w:t>
      </w:r>
      <w:r w:rsidR="00B307DE">
        <w:rPr>
          <w:rFonts w:eastAsia="바탕" w:hint="eastAsia"/>
          <w:sz w:val="22"/>
          <w:szCs w:val="22"/>
          <w:lang w:eastAsia="ko-KR"/>
        </w:rPr>
        <w:t xml:space="preserve">. </w:t>
      </w:r>
    </w:p>
    <w:p w:rsidR="009D62E4" w:rsidRDefault="009D62E4" w:rsidP="000B361B">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t>Based on this analysis, we propose as follow</w:t>
      </w:r>
    </w:p>
    <w:p w:rsidR="000B361B" w:rsidRPr="00F15A51" w:rsidRDefault="00957113" w:rsidP="00F15A51">
      <w:pPr>
        <w:adjustRightInd w:val="0"/>
        <w:spacing w:after="120"/>
        <w:rPr>
          <w:rFonts w:eastAsia="바탕"/>
          <w:sz w:val="22"/>
        </w:rPr>
      </w:pPr>
      <w:r w:rsidRPr="00F15A51">
        <w:rPr>
          <w:rFonts w:eastAsia="바탕" w:hint="eastAsia"/>
          <w:b/>
          <w:i/>
          <w:sz w:val="22"/>
        </w:rPr>
        <w:t>Proposal 1:</w:t>
      </w:r>
      <w:r w:rsidRPr="00F15A51">
        <w:rPr>
          <w:rFonts w:eastAsia="바탕" w:hint="eastAsia"/>
          <w:sz w:val="22"/>
        </w:rPr>
        <w:t xml:space="preserve"> Define d</w:t>
      </w:r>
      <w:r w:rsidRPr="00F15A51">
        <w:rPr>
          <w:rFonts w:eastAsia="바탕"/>
          <w:sz w:val="22"/>
        </w:rPr>
        <w:t>efault</w:t>
      </w:r>
      <w:r w:rsidR="009D62E4">
        <w:rPr>
          <w:rFonts w:eastAsia="바탕" w:hint="eastAsia"/>
          <w:sz w:val="22"/>
        </w:rPr>
        <w:t xml:space="preserve"> </w:t>
      </w:r>
      <w:r w:rsidRPr="00F15A51">
        <w:rPr>
          <w:rFonts w:eastAsia="바탕" w:hint="eastAsia"/>
          <w:sz w:val="22"/>
        </w:rPr>
        <w:t>U</w:t>
      </w:r>
      <w:r w:rsidR="009D62E4">
        <w:rPr>
          <w:rFonts w:eastAsia="바탕"/>
          <w:sz w:val="22"/>
        </w:rPr>
        <w:t>E</w:t>
      </w:r>
      <w:r w:rsidRPr="00F15A51">
        <w:rPr>
          <w:rFonts w:eastAsia="바탕" w:hint="eastAsia"/>
          <w:sz w:val="22"/>
        </w:rPr>
        <w:t xml:space="preserve"> </w:t>
      </w:r>
      <w:r w:rsidR="009D62E4">
        <w:rPr>
          <w:rFonts w:eastAsia="바탕"/>
          <w:sz w:val="22"/>
        </w:rPr>
        <w:t xml:space="preserve">behaviour </w:t>
      </w:r>
      <w:r w:rsidRPr="00F15A51">
        <w:rPr>
          <w:rFonts w:eastAsia="바탕" w:hint="eastAsia"/>
          <w:sz w:val="22"/>
        </w:rPr>
        <w:t xml:space="preserve">for </w:t>
      </w:r>
      <w:r w:rsidR="009D62E4">
        <w:rPr>
          <w:rFonts w:eastAsia="바탕"/>
          <w:sz w:val="22"/>
        </w:rPr>
        <w:t xml:space="preserve">wideband operation is option2 in Figure1. </w:t>
      </w:r>
      <w:r w:rsidR="00F73173" w:rsidRPr="00F15A51">
        <w:rPr>
          <w:rFonts w:eastAsia="바탕"/>
          <w:sz w:val="22"/>
        </w:rPr>
        <w:t>As UE capability</w:t>
      </w:r>
      <w:r w:rsidR="00F15A51" w:rsidRPr="00F15A51">
        <w:rPr>
          <w:rFonts w:eastAsia="바탕"/>
          <w:sz w:val="22"/>
        </w:rPr>
        <w:t>, some UE can support</w:t>
      </w:r>
      <w:r w:rsidR="00F73173" w:rsidRPr="00F15A51">
        <w:rPr>
          <w:rFonts w:eastAsia="바탕"/>
          <w:sz w:val="22"/>
        </w:rPr>
        <w:t xml:space="preserve"> </w:t>
      </w:r>
      <w:r w:rsidR="009D62E4">
        <w:rPr>
          <w:rFonts w:eastAsia="바탕"/>
          <w:sz w:val="22"/>
        </w:rPr>
        <w:t>option1 behaviour based on RAN4 agreements</w:t>
      </w:r>
      <w:r w:rsidR="00D4721E" w:rsidRPr="00F15A51">
        <w:rPr>
          <w:rFonts w:eastAsia="바탕" w:hint="eastAsia"/>
          <w:sz w:val="22"/>
        </w:rPr>
        <w:t>.</w:t>
      </w:r>
    </w:p>
    <w:p w:rsidR="00F73173" w:rsidRDefault="00F73173" w:rsidP="00F73173">
      <w:pPr>
        <w:adjustRightInd w:val="0"/>
        <w:spacing w:after="120"/>
        <w:rPr>
          <w:rFonts w:eastAsia="바탕"/>
          <w:sz w:val="22"/>
        </w:rPr>
      </w:pPr>
    </w:p>
    <w:p w:rsidR="00F73173" w:rsidRPr="009A493A" w:rsidRDefault="00DD0850" w:rsidP="00F73173">
      <w:pPr>
        <w:pStyle w:val="1"/>
        <w:keepNext w:val="0"/>
        <w:widowControl w:val="0"/>
        <w:numPr>
          <w:ilvl w:val="0"/>
          <w:numId w:val="11"/>
        </w:numPr>
        <w:autoSpaceDE w:val="0"/>
        <w:autoSpaceDN w:val="0"/>
        <w:adjustRightInd w:val="0"/>
        <w:ind w:right="0"/>
        <w:jc w:val="both"/>
        <w:rPr>
          <w:rFonts w:ascii="Times New Roman" w:hAnsi="Times New Roman"/>
          <w:bCs/>
          <w:sz w:val="28"/>
          <w:szCs w:val="28"/>
          <w:lang w:val="en-US" w:eastAsia="ko-KR"/>
        </w:rPr>
      </w:pPr>
      <w:r>
        <w:rPr>
          <w:rFonts w:ascii="Times New Roman" w:hAnsi="Times New Roman"/>
          <w:bCs/>
          <w:sz w:val="28"/>
          <w:szCs w:val="28"/>
          <w:lang w:val="en-US" w:eastAsia="ko-KR"/>
        </w:rPr>
        <w:t>Different numerology supporting issues</w:t>
      </w:r>
      <w:r w:rsidR="00F73173" w:rsidRPr="009A493A">
        <w:rPr>
          <w:rFonts w:ascii="Times New Roman" w:hAnsi="Times New Roman"/>
          <w:bCs/>
          <w:sz w:val="28"/>
          <w:szCs w:val="28"/>
          <w:lang w:val="en-US" w:eastAsia="ko-KR"/>
        </w:rPr>
        <w:t xml:space="preserve"> on </w:t>
      </w:r>
      <w:r w:rsidR="00F73173">
        <w:rPr>
          <w:rFonts w:ascii="Times New Roman" w:hAnsi="Times New Roman"/>
          <w:bCs/>
          <w:sz w:val="28"/>
          <w:szCs w:val="28"/>
          <w:lang w:val="en-US" w:eastAsia="ko-KR"/>
        </w:rPr>
        <w:t xml:space="preserve">wideband </w:t>
      </w:r>
      <w:r>
        <w:rPr>
          <w:rFonts w:ascii="Times New Roman" w:hAnsi="Times New Roman"/>
          <w:bCs/>
          <w:sz w:val="28"/>
          <w:szCs w:val="28"/>
          <w:lang w:val="en-US" w:eastAsia="ko-KR"/>
        </w:rPr>
        <w:t>operation</w:t>
      </w:r>
    </w:p>
    <w:p w:rsidR="00F73173" w:rsidRPr="00623C1A" w:rsidRDefault="00847F80" w:rsidP="00623C1A">
      <w:pPr>
        <w:widowControl w:val="0"/>
        <w:autoSpaceDE w:val="0"/>
        <w:autoSpaceDN w:val="0"/>
        <w:adjustRightInd w:val="0"/>
        <w:spacing w:after="120"/>
        <w:ind w:firstLine="432"/>
        <w:jc w:val="both"/>
        <w:rPr>
          <w:rFonts w:eastAsia="바탕"/>
          <w:sz w:val="22"/>
          <w:szCs w:val="22"/>
          <w:lang w:eastAsia="ko-KR"/>
        </w:rPr>
      </w:pPr>
      <w:r w:rsidRPr="00623C1A">
        <w:rPr>
          <w:rFonts w:eastAsia="바탕"/>
          <w:sz w:val="22"/>
          <w:szCs w:val="22"/>
          <w:lang w:eastAsia="ko-KR"/>
        </w:rPr>
        <w:t>In last RAN plenary meeting</w:t>
      </w:r>
      <w:r w:rsidR="00F73173" w:rsidRPr="00623C1A">
        <w:rPr>
          <w:rFonts w:eastAsia="바탕" w:hint="eastAsia"/>
          <w:sz w:val="22"/>
          <w:szCs w:val="22"/>
          <w:lang w:eastAsia="ko-KR"/>
        </w:rPr>
        <w:t xml:space="preserve">, </w:t>
      </w:r>
      <w:r w:rsidRPr="00623C1A">
        <w:rPr>
          <w:rFonts w:eastAsia="바탕"/>
          <w:sz w:val="22"/>
          <w:szCs w:val="22"/>
          <w:lang w:eastAsia="ko-KR"/>
        </w:rPr>
        <w:t>RAN agree</w:t>
      </w:r>
      <w:r w:rsidR="00E62DED">
        <w:rPr>
          <w:rFonts w:eastAsia="바탕"/>
          <w:sz w:val="22"/>
          <w:szCs w:val="22"/>
          <w:lang w:eastAsia="ko-KR"/>
        </w:rPr>
        <w:t>d</w:t>
      </w:r>
      <w:r w:rsidRPr="00623C1A">
        <w:rPr>
          <w:rFonts w:eastAsia="바탕"/>
          <w:sz w:val="22"/>
          <w:szCs w:val="22"/>
          <w:lang w:eastAsia="ko-KR"/>
        </w:rPr>
        <w:t xml:space="preserve"> that NR-NR CA with different numerologies will be started at 2Q 2018. And also RAN4 already discussed how can support wideband operation with different numerologies</w:t>
      </w:r>
      <w:r w:rsidR="00E176C8" w:rsidRPr="00623C1A">
        <w:rPr>
          <w:rFonts w:eastAsia="바탕"/>
          <w:sz w:val="22"/>
          <w:szCs w:val="22"/>
          <w:lang w:eastAsia="ko-KR"/>
        </w:rPr>
        <w:t xml:space="preserve"> as shown in Figure 2</w:t>
      </w:r>
      <w:r w:rsidRPr="00623C1A">
        <w:rPr>
          <w:rFonts w:eastAsia="바탕"/>
          <w:sz w:val="22"/>
          <w:szCs w:val="22"/>
          <w:lang w:eastAsia="ko-KR"/>
        </w:rPr>
        <w:t xml:space="preserve">.  </w:t>
      </w:r>
      <w:r w:rsidR="00E176C8" w:rsidRPr="00623C1A">
        <w:rPr>
          <w:rFonts w:eastAsia="바탕"/>
          <w:sz w:val="22"/>
          <w:szCs w:val="22"/>
          <w:lang w:eastAsia="ko-KR"/>
        </w:rPr>
        <w:t>Basically RAN4 has common understating for simultaneous same numerologies will be supported for multiple BWPs in a UE</w:t>
      </w:r>
      <w:r w:rsidR="00F73173" w:rsidRPr="00623C1A">
        <w:rPr>
          <w:rFonts w:eastAsia="바탕"/>
          <w:sz w:val="22"/>
          <w:szCs w:val="22"/>
          <w:lang w:eastAsia="ko-KR"/>
        </w:rPr>
        <w:t xml:space="preserve">. </w:t>
      </w:r>
    </w:p>
    <w:p w:rsidR="00E176C8" w:rsidRDefault="00E176C8" w:rsidP="00F73173">
      <w:pPr>
        <w:ind w:firstLineChars="100" w:firstLine="220"/>
        <w:jc w:val="both"/>
        <w:rPr>
          <w:rFonts w:eastAsia="바탕"/>
          <w:color w:val="000000"/>
          <w:kern w:val="2"/>
          <w:sz w:val="22"/>
          <w:lang w:val="en-US" w:eastAsia="ko-KR"/>
        </w:rPr>
      </w:pPr>
      <w:r>
        <w:rPr>
          <w:rFonts w:eastAsia="바탕"/>
          <w:color w:val="000000"/>
          <w:kern w:val="2"/>
          <w:sz w:val="22"/>
          <w:lang w:val="en-US" w:eastAsia="ko-KR"/>
        </w:rPr>
        <w:t xml:space="preserve">However, </w:t>
      </w:r>
      <w:r w:rsidR="00623C1A">
        <w:rPr>
          <w:rFonts w:eastAsia="바탕"/>
          <w:color w:val="000000"/>
          <w:kern w:val="2"/>
          <w:sz w:val="22"/>
          <w:lang w:val="en-US" w:eastAsia="ko-KR"/>
        </w:rPr>
        <w:t>as shown in Figure2, different numerologies in multiple BWPs a UE is not generic use case for NR UE. This is only possible different PUCCH group between each BWP. Also RAN plenary decide this NR-NR CA with different numerology will be started at 2Q 2018.</w:t>
      </w:r>
    </w:p>
    <w:p w:rsidR="00623C1A" w:rsidRDefault="00623C1A" w:rsidP="00F73173">
      <w:pPr>
        <w:ind w:firstLineChars="100" w:firstLine="220"/>
        <w:jc w:val="both"/>
        <w:rPr>
          <w:rFonts w:eastAsia="바탕"/>
          <w:color w:val="000000"/>
          <w:kern w:val="2"/>
          <w:sz w:val="22"/>
          <w:lang w:val="en-US" w:eastAsia="ko-KR"/>
        </w:rPr>
      </w:pPr>
      <w:r>
        <w:rPr>
          <w:rFonts w:eastAsia="바탕"/>
          <w:color w:val="000000"/>
          <w:kern w:val="2"/>
          <w:sz w:val="22"/>
          <w:lang w:val="en-US" w:eastAsia="ko-KR"/>
        </w:rPr>
        <w:t xml:space="preserve">Therefore, RAN4 can focus on </w:t>
      </w:r>
      <w:r>
        <w:rPr>
          <w:rFonts w:eastAsia="바탕"/>
          <w:sz w:val="22"/>
          <w:szCs w:val="22"/>
          <w:lang w:eastAsia="ko-KR"/>
        </w:rPr>
        <w:t>on the same numerology in multiple BWP for wideband operation as first priority in rel-15. And the different numerologies in multiple BWPs for intra-band contiguous CA can be discussed and specified from 2Q as 2</w:t>
      </w:r>
      <w:r w:rsidRPr="00623C1A">
        <w:rPr>
          <w:rFonts w:eastAsia="바탕"/>
          <w:sz w:val="22"/>
          <w:szCs w:val="22"/>
          <w:vertAlign w:val="superscript"/>
          <w:lang w:eastAsia="ko-KR"/>
        </w:rPr>
        <w:t>nd</w:t>
      </w:r>
      <w:r>
        <w:rPr>
          <w:rFonts w:eastAsia="바탕"/>
          <w:sz w:val="22"/>
          <w:szCs w:val="22"/>
          <w:lang w:eastAsia="ko-KR"/>
        </w:rPr>
        <w:t xml:space="preserve"> priority. </w:t>
      </w:r>
    </w:p>
    <w:p w:rsidR="00623C1A" w:rsidRDefault="00623C1A" w:rsidP="00F73173">
      <w:pPr>
        <w:ind w:firstLineChars="100" w:firstLine="220"/>
        <w:jc w:val="both"/>
        <w:rPr>
          <w:rFonts w:eastAsia="바탕"/>
          <w:color w:val="000000"/>
          <w:kern w:val="2"/>
          <w:sz w:val="22"/>
          <w:lang w:val="en-US" w:eastAsia="ko-KR"/>
        </w:rPr>
      </w:pPr>
      <w:r>
        <w:rPr>
          <w:rFonts w:eastAsia="바탕"/>
          <w:color w:val="000000"/>
          <w:kern w:val="2"/>
          <w:sz w:val="22"/>
          <w:lang w:val="en-US" w:eastAsia="ko-KR"/>
        </w:rPr>
        <w:t>If the different numerologies with multiple BWPs for intra-band CA are specified in rel-15, it will be applied for wideband operation as UE capability in rel-15.</w:t>
      </w:r>
    </w:p>
    <w:p w:rsidR="00F73173" w:rsidRDefault="00F73173" w:rsidP="00F73173">
      <w:pPr>
        <w:ind w:firstLineChars="100" w:firstLine="220"/>
        <w:jc w:val="both"/>
        <w:rPr>
          <w:rFonts w:eastAsia="바탕"/>
          <w:color w:val="000000"/>
          <w:kern w:val="2"/>
          <w:sz w:val="22"/>
          <w:lang w:val="en-US" w:eastAsia="ko-KR"/>
        </w:rPr>
      </w:pPr>
    </w:p>
    <w:p w:rsidR="00DD0850" w:rsidRDefault="00E176C8" w:rsidP="00F73173">
      <w:pPr>
        <w:ind w:firstLineChars="100" w:firstLine="220"/>
        <w:jc w:val="both"/>
        <w:rPr>
          <w:rFonts w:eastAsia="바탕"/>
          <w:color w:val="000000"/>
          <w:kern w:val="2"/>
          <w:sz w:val="22"/>
          <w:lang w:val="en-US" w:eastAsia="ko-KR"/>
        </w:rPr>
      </w:pPr>
      <w:r w:rsidRPr="00E176C8">
        <w:rPr>
          <w:rFonts w:eastAsia="바탕"/>
          <w:noProof/>
          <w:color w:val="000000"/>
          <w:kern w:val="2"/>
          <w:sz w:val="22"/>
          <w:lang w:val="en-US" w:eastAsia="ko-KR"/>
        </w:rPr>
        <w:drawing>
          <wp:inline distT="0" distB="0" distL="0" distR="0" wp14:anchorId="233B4A01" wp14:editId="0C7EA55B">
            <wp:extent cx="6264275" cy="2863215"/>
            <wp:effectExtent l="0" t="0" r="3175"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6264275" cy="2863215"/>
                    </a:xfrm>
                    <a:prstGeom prst="rect">
                      <a:avLst/>
                    </a:prstGeom>
                  </pic:spPr>
                </pic:pic>
              </a:graphicData>
            </a:graphic>
          </wp:inline>
        </w:drawing>
      </w:r>
    </w:p>
    <w:p w:rsidR="00E176C8" w:rsidRDefault="00E176C8" w:rsidP="00E176C8">
      <w:pPr>
        <w:pStyle w:val="af1"/>
        <w:ind w:leftChars="0" w:left="0"/>
        <w:jc w:val="center"/>
        <w:rPr>
          <w:b/>
        </w:rPr>
      </w:pPr>
      <w:r>
        <w:rPr>
          <w:b/>
        </w:rPr>
        <w:t>Figure</w:t>
      </w:r>
      <w:r w:rsidRPr="00AA432F">
        <w:rPr>
          <w:b/>
        </w:rPr>
        <w:t xml:space="preserve"> </w:t>
      </w:r>
      <w:r>
        <w:rPr>
          <w:b/>
        </w:rPr>
        <w:t>2</w:t>
      </w:r>
      <w:r w:rsidRPr="00AA432F">
        <w:rPr>
          <w:b/>
        </w:rPr>
        <w:t xml:space="preserve">: </w:t>
      </w:r>
      <w:r>
        <w:rPr>
          <w:b/>
        </w:rPr>
        <w:t xml:space="preserve">How </w:t>
      </w:r>
      <w:r>
        <w:rPr>
          <w:b/>
          <w:lang w:val="en-GB"/>
        </w:rPr>
        <w:t xml:space="preserve">to </w:t>
      </w:r>
      <w:r w:rsidRPr="00E176C8">
        <w:rPr>
          <w:b/>
          <w:lang w:val="en-GB"/>
        </w:rPr>
        <w:t>handle different numerologies in different BWP configurations (multiple CC case)</w:t>
      </w:r>
    </w:p>
    <w:p w:rsidR="00623C1A" w:rsidRDefault="00623C1A" w:rsidP="00623C1A">
      <w:pPr>
        <w:widowControl w:val="0"/>
        <w:autoSpaceDE w:val="0"/>
        <w:autoSpaceDN w:val="0"/>
        <w:adjustRightInd w:val="0"/>
        <w:spacing w:after="120"/>
        <w:ind w:firstLine="432"/>
        <w:jc w:val="both"/>
        <w:rPr>
          <w:rFonts w:eastAsia="바탕"/>
          <w:sz w:val="22"/>
          <w:szCs w:val="22"/>
          <w:lang w:eastAsia="ko-KR"/>
        </w:rPr>
      </w:pPr>
    </w:p>
    <w:p w:rsidR="00623C1A" w:rsidRDefault="00623C1A" w:rsidP="00623C1A">
      <w:pPr>
        <w:widowControl w:val="0"/>
        <w:autoSpaceDE w:val="0"/>
        <w:autoSpaceDN w:val="0"/>
        <w:adjustRightInd w:val="0"/>
        <w:spacing w:after="120"/>
        <w:ind w:firstLine="432"/>
        <w:jc w:val="both"/>
        <w:rPr>
          <w:rFonts w:eastAsia="바탕"/>
          <w:sz w:val="22"/>
          <w:szCs w:val="22"/>
          <w:lang w:eastAsia="ko-KR"/>
        </w:rPr>
      </w:pPr>
      <w:r>
        <w:rPr>
          <w:rFonts w:eastAsia="바탕"/>
          <w:sz w:val="22"/>
          <w:szCs w:val="22"/>
          <w:lang w:eastAsia="ko-KR"/>
        </w:rPr>
        <w:lastRenderedPageBreak/>
        <w:t>Based on this analysis, we propose as follow</w:t>
      </w:r>
    </w:p>
    <w:p w:rsidR="00623C1A" w:rsidRPr="00F15A51" w:rsidRDefault="00623C1A" w:rsidP="000B63CC">
      <w:pPr>
        <w:adjustRightInd w:val="0"/>
        <w:spacing w:after="120"/>
        <w:jc w:val="both"/>
        <w:rPr>
          <w:rFonts w:eastAsia="바탕"/>
          <w:sz w:val="22"/>
        </w:rPr>
      </w:pPr>
      <w:r w:rsidRPr="00F15A51">
        <w:rPr>
          <w:rFonts w:eastAsia="바탕" w:hint="eastAsia"/>
          <w:b/>
          <w:i/>
          <w:sz w:val="22"/>
        </w:rPr>
        <w:t xml:space="preserve">Proposal </w:t>
      </w:r>
      <w:r>
        <w:rPr>
          <w:rFonts w:eastAsia="바탕"/>
          <w:b/>
          <w:i/>
          <w:sz w:val="22"/>
        </w:rPr>
        <w:t>2</w:t>
      </w:r>
      <w:r w:rsidRPr="00F15A51">
        <w:rPr>
          <w:rFonts w:eastAsia="바탕" w:hint="eastAsia"/>
          <w:b/>
          <w:i/>
          <w:sz w:val="22"/>
        </w:rPr>
        <w:t>:</w:t>
      </w:r>
      <w:r w:rsidRPr="00F15A51">
        <w:rPr>
          <w:rFonts w:eastAsia="바탕" w:hint="eastAsia"/>
          <w:sz w:val="22"/>
        </w:rPr>
        <w:t xml:space="preserve"> </w:t>
      </w:r>
      <w:r w:rsidR="000B63CC">
        <w:rPr>
          <w:rFonts w:eastAsia="바탕"/>
          <w:sz w:val="22"/>
        </w:rPr>
        <w:t>The same numerologies for wideband operation with multiple BWPs is 1</w:t>
      </w:r>
      <w:r w:rsidR="000B63CC" w:rsidRPr="000B63CC">
        <w:rPr>
          <w:rFonts w:eastAsia="바탕"/>
          <w:sz w:val="22"/>
          <w:vertAlign w:val="superscript"/>
        </w:rPr>
        <w:t>st</w:t>
      </w:r>
      <w:r w:rsidR="000B63CC">
        <w:rPr>
          <w:rFonts w:eastAsia="바탕"/>
          <w:sz w:val="22"/>
        </w:rPr>
        <w:t xml:space="preserve"> priority in rel-15. Different numerologies might be support as UE capability in </w:t>
      </w:r>
      <w:r w:rsidR="000B63CC">
        <w:rPr>
          <w:rFonts w:eastAsia="바탕" w:hint="eastAsia"/>
          <w:sz w:val="22"/>
        </w:rPr>
        <w:t>rel</w:t>
      </w:r>
      <w:r w:rsidR="000B63CC">
        <w:rPr>
          <w:rFonts w:eastAsia="바탕"/>
          <w:sz w:val="22"/>
        </w:rPr>
        <w:t xml:space="preserve">-15 when </w:t>
      </w:r>
      <w:r w:rsidR="000B63CC">
        <w:rPr>
          <w:rFonts w:eastAsia="바탕"/>
          <w:sz w:val="22"/>
          <w:szCs w:val="22"/>
          <w:lang w:eastAsia="ko-KR"/>
        </w:rPr>
        <w:t>the different numerologies in multiple BWPs for intra-band contiguous CA specified</w:t>
      </w:r>
      <w:r w:rsidRPr="00F15A51">
        <w:rPr>
          <w:rFonts w:eastAsia="바탕" w:hint="eastAsia"/>
          <w:sz w:val="22"/>
        </w:rPr>
        <w:t>.</w:t>
      </w:r>
    </w:p>
    <w:p w:rsidR="00472410" w:rsidRPr="009A493A" w:rsidRDefault="00472410" w:rsidP="00472410">
      <w:pPr>
        <w:pStyle w:val="1"/>
        <w:keepNext w:val="0"/>
        <w:widowControl w:val="0"/>
        <w:numPr>
          <w:ilvl w:val="0"/>
          <w:numId w:val="11"/>
        </w:numPr>
        <w:tabs>
          <w:tab w:val="num" w:pos="820"/>
        </w:tabs>
        <w:autoSpaceDE w:val="0"/>
        <w:autoSpaceDN w:val="0"/>
        <w:adjustRightInd w:val="0"/>
        <w:ind w:right="0"/>
        <w:jc w:val="both"/>
        <w:rPr>
          <w:rFonts w:ascii="Times New Roman" w:hAnsi="Times New Roman"/>
          <w:bCs/>
          <w:sz w:val="28"/>
          <w:szCs w:val="28"/>
          <w:lang w:val="en-US" w:eastAsia="ko-KR"/>
        </w:rPr>
      </w:pPr>
      <w:r>
        <w:rPr>
          <w:rFonts w:ascii="Times New Roman" w:hAnsi="Times New Roman"/>
          <w:bCs/>
          <w:sz w:val="28"/>
          <w:szCs w:val="28"/>
          <w:lang w:val="en-US" w:eastAsia="ko-KR"/>
        </w:rPr>
        <w:t>UE capability and intra-band contiguous CA requirements for wideband operation</w:t>
      </w:r>
    </w:p>
    <w:p w:rsidR="0088789F" w:rsidRPr="00C3081B" w:rsidRDefault="0088789F" w:rsidP="0088789F">
      <w:pPr>
        <w:ind w:firstLine="425"/>
        <w:jc w:val="both"/>
        <w:rPr>
          <w:rFonts w:eastAsia="바탕"/>
          <w:color w:val="000000"/>
          <w:kern w:val="2"/>
          <w:sz w:val="22"/>
          <w:lang w:val="en-US" w:eastAsia="ko-KR"/>
        </w:rPr>
      </w:pPr>
      <w:r w:rsidRPr="0088789F">
        <w:rPr>
          <w:rFonts w:eastAsia="바탕"/>
          <w:color w:val="000000"/>
          <w:kern w:val="2"/>
          <w:sz w:val="22"/>
          <w:lang w:val="en-US" w:eastAsia="ko-KR"/>
        </w:rPr>
        <w:t xml:space="preserve">For the UW capability, RAN4 agreed that UE capability should be finalized at this AH 1801 meeting. So </w:t>
      </w:r>
      <w:r w:rsidR="00472410" w:rsidRPr="0088789F">
        <w:rPr>
          <w:rFonts w:eastAsia="바탕"/>
          <w:color w:val="000000"/>
          <w:kern w:val="2"/>
          <w:sz w:val="22"/>
          <w:lang w:val="en-US" w:eastAsia="ko-KR"/>
        </w:rPr>
        <w:t>we provide</w:t>
      </w:r>
      <w:r w:rsidR="00472410" w:rsidRPr="0088789F">
        <w:rPr>
          <w:rFonts w:eastAsia="바탕" w:hint="eastAsia"/>
          <w:color w:val="000000"/>
          <w:kern w:val="2"/>
          <w:sz w:val="22"/>
          <w:lang w:val="en-US" w:eastAsia="ko-KR"/>
        </w:rPr>
        <w:t>d</w:t>
      </w:r>
      <w:r w:rsidRPr="0088789F">
        <w:rPr>
          <w:rFonts w:eastAsia="바탕"/>
          <w:color w:val="000000"/>
          <w:kern w:val="2"/>
          <w:sz w:val="22"/>
          <w:lang w:val="en-US" w:eastAsia="ko-KR"/>
        </w:rPr>
        <w:t xml:space="preserve"> some UE capability signaling in rel-15 and future release.</w:t>
      </w:r>
    </w:p>
    <w:p w:rsidR="0088789F" w:rsidRDefault="0088789F" w:rsidP="0088789F">
      <w:pPr>
        <w:adjustRightInd w:val="0"/>
        <w:spacing w:after="120"/>
        <w:rPr>
          <w:rFonts w:eastAsia="바탕"/>
          <w:b/>
          <w:i/>
          <w:sz w:val="22"/>
        </w:rPr>
      </w:pPr>
    </w:p>
    <w:p w:rsidR="0088789F" w:rsidRDefault="0088789F" w:rsidP="0088789F">
      <w:pPr>
        <w:adjustRightInd w:val="0"/>
        <w:spacing w:after="120"/>
        <w:rPr>
          <w:rFonts w:eastAsia="바탕"/>
          <w:sz w:val="22"/>
        </w:rPr>
      </w:pPr>
      <w:r w:rsidRPr="00957113">
        <w:rPr>
          <w:rFonts w:eastAsia="바탕" w:hint="eastAsia"/>
          <w:b/>
          <w:i/>
          <w:sz w:val="22"/>
        </w:rPr>
        <w:t>P</w:t>
      </w:r>
      <w:r>
        <w:rPr>
          <w:rFonts w:eastAsia="바탕" w:hint="eastAsia"/>
          <w:b/>
          <w:i/>
          <w:sz w:val="22"/>
        </w:rPr>
        <w:t>roposal 3</w:t>
      </w:r>
      <w:r w:rsidRPr="00957113">
        <w:rPr>
          <w:rFonts w:eastAsia="바탕" w:hint="eastAsia"/>
          <w:b/>
          <w:i/>
          <w:sz w:val="22"/>
        </w:rPr>
        <w:t>:</w:t>
      </w:r>
      <w:r>
        <w:rPr>
          <w:rFonts w:eastAsia="바탕" w:hint="eastAsia"/>
          <w:sz w:val="22"/>
        </w:rPr>
        <w:t xml:space="preserve"> Introduce additional UE capability to support </w:t>
      </w:r>
      <w:r>
        <w:rPr>
          <w:rFonts w:eastAsia="바탕"/>
          <w:sz w:val="22"/>
        </w:rPr>
        <w:t>wideband operation as below</w:t>
      </w:r>
    </w:p>
    <w:p w:rsidR="0088789F" w:rsidRDefault="0088789F" w:rsidP="0088789F">
      <w:pPr>
        <w:numPr>
          <w:ilvl w:val="0"/>
          <w:numId w:val="8"/>
        </w:numPr>
        <w:jc w:val="both"/>
        <w:rPr>
          <w:rFonts w:eastAsia="바탕"/>
          <w:color w:val="000000"/>
          <w:kern w:val="2"/>
          <w:sz w:val="22"/>
          <w:lang w:val="en-US" w:eastAsia="ko-KR"/>
        </w:rPr>
      </w:pPr>
      <w:r>
        <w:rPr>
          <w:rFonts w:eastAsia="바탕" w:hint="eastAsia"/>
          <w:color w:val="000000"/>
          <w:kern w:val="2"/>
          <w:sz w:val="22"/>
          <w:lang w:val="en-US" w:eastAsia="ko-KR"/>
        </w:rPr>
        <w:t>Supporting flexible UE CBW according to allocated BWP</w:t>
      </w:r>
    </w:p>
    <w:p w:rsidR="0088789F" w:rsidRPr="00BF2598" w:rsidRDefault="0088789F" w:rsidP="0088789F">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 xml:space="preserve">Supporting overall SU based on wider channel bandwidth </w:t>
      </w:r>
      <w:r w:rsidR="0047710B">
        <w:rPr>
          <w:rFonts w:eastAsia="바탕"/>
          <w:color w:val="000000"/>
          <w:kern w:val="2"/>
          <w:sz w:val="22"/>
          <w:lang w:val="en-US" w:eastAsia="ko-KR"/>
        </w:rPr>
        <w:t>(from rel-16)</w:t>
      </w:r>
    </w:p>
    <w:p w:rsidR="0088789F" w:rsidRPr="00BF2598" w:rsidRDefault="0088789F" w:rsidP="0088789F">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 xml:space="preserve">Supporting the simultaneous </w:t>
      </w:r>
      <w:r>
        <w:rPr>
          <w:rFonts w:eastAsia="바탕"/>
          <w:color w:val="000000"/>
          <w:kern w:val="2"/>
          <w:sz w:val="22"/>
          <w:lang w:val="en-US" w:eastAsia="ko-KR"/>
        </w:rPr>
        <w:t>same/different</w:t>
      </w:r>
      <w:r w:rsidRPr="00BF2598">
        <w:rPr>
          <w:rFonts w:eastAsia="바탕"/>
          <w:color w:val="000000"/>
          <w:kern w:val="2"/>
          <w:sz w:val="22"/>
          <w:lang w:val="en-US" w:eastAsia="ko-KR"/>
        </w:rPr>
        <w:t xml:space="preserve"> numerology</w:t>
      </w:r>
    </w:p>
    <w:p w:rsidR="0088789F" w:rsidRPr="00BF2598" w:rsidRDefault="0088789F" w:rsidP="0088789F">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[Min.] and Max. Channel BW (BWP granularity)</w:t>
      </w:r>
    </w:p>
    <w:p w:rsidR="0088789F" w:rsidRPr="00BF2598" w:rsidRDefault="0088789F" w:rsidP="0088789F">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Maximum number of supporting aggregated CCs</w:t>
      </w:r>
    </w:p>
    <w:p w:rsidR="0088789F" w:rsidRPr="00BF2598" w:rsidRDefault="0088789F" w:rsidP="0088789F">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Supported RF Bands and corresponding CA bandwidth classes for wideband operation</w:t>
      </w:r>
    </w:p>
    <w:p w:rsidR="00623C1A" w:rsidRPr="0088789F" w:rsidRDefault="00623C1A" w:rsidP="00E176C8">
      <w:pPr>
        <w:pStyle w:val="af1"/>
        <w:ind w:leftChars="0" w:left="0"/>
        <w:jc w:val="center"/>
        <w:rPr>
          <w:b/>
        </w:rPr>
      </w:pPr>
    </w:p>
    <w:p w:rsidR="0088789F" w:rsidRDefault="0047710B" w:rsidP="0088789F">
      <w:pPr>
        <w:ind w:firstLineChars="100" w:firstLine="220"/>
        <w:jc w:val="both"/>
        <w:rPr>
          <w:rFonts w:eastAsia="바탕"/>
          <w:color w:val="000000"/>
          <w:kern w:val="2"/>
          <w:sz w:val="22"/>
          <w:lang w:val="en-US" w:eastAsia="ko-KR"/>
        </w:rPr>
      </w:pPr>
      <w:r>
        <w:rPr>
          <w:rFonts w:eastAsia="바탕"/>
          <w:color w:val="000000"/>
          <w:kern w:val="2"/>
          <w:sz w:val="22"/>
          <w:lang w:val="en-US" w:eastAsia="ko-KR"/>
        </w:rPr>
        <w:t>Also, we share how to define intra-band contiguous CA RF requirements in Table 1 considering same numerologies between CCs.</w:t>
      </w:r>
    </w:p>
    <w:p w:rsidR="0088789F" w:rsidRDefault="0088789F" w:rsidP="0088789F">
      <w:pPr>
        <w:ind w:firstLineChars="100" w:firstLine="220"/>
        <w:jc w:val="both"/>
        <w:rPr>
          <w:rFonts w:eastAsia="바탕"/>
          <w:color w:val="000000"/>
          <w:kern w:val="2"/>
          <w:sz w:val="22"/>
          <w:lang w:val="en-US" w:eastAsia="ko-KR"/>
        </w:rPr>
      </w:pPr>
      <w:r>
        <w:rPr>
          <w:rFonts w:eastAsia="바탕"/>
          <w:color w:val="000000"/>
          <w:kern w:val="2"/>
          <w:sz w:val="22"/>
          <w:lang w:val="en-US" w:eastAsia="ko-KR"/>
        </w:rPr>
        <w:t xml:space="preserve">Specially, the </w:t>
      </w:r>
      <w:r w:rsidRPr="00C3081B">
        <w:rPr>
          <w:rFonts w:eastAsia="바탕"/>
          <w:color w:val="000000"/>
          <w:kern w:val="2"/>
          <w:sz w:val="22"/>
          <w:lang w:val="en-US" w:eastAsia="ko-KR"/>
        </w:rPr>
        <w:t>unwante</w:t>
      </w:r>
      <w:r>
        <w:rPr>
          <w:rFonts w:eastAsia="바탕"/>
          <w:color w:val="000000"/>
          <w:kern w:val="2"/>
          <w:sz w:val="22"/>
          <w:lang w:val="en-US" w:eastAsia="ko-KR"/>
        </w:rPr>
        <w:t xml:space="preserve">d emission such as SEM/ACLR, </w:t>
      </w:r>
      <w:r w:rsidRPr="0047710B">
        <w:rPr>
          <w:rFonts w:eastAsia="바탕"/>
          <w:kern w:val="2"/>
          <w:sz w:val="22"/>
          <w:lang w:val="en-US" w:eastAsia="ko-KR"/>
        </w:rPr>
        <w:t>actual requirements could be defined with scalable manner with function of total aggregated bandwidth</w:t>
      </w:r>
      <w:r w:rsidRPr="00C3081B">
        <w:rPr>
          <w:rFonts w:eastAsia="바탕"/>
          <w:color w:val="000000"/>
          <w:kern w:val="2"/>
          <w:sz w:val="22"/>
          <w:lang w:val="en-US" w:eastAsia="ko-KR"/>
        </w:rPr>
        <w:t xml:space="preserve">. For in-band emission requirements, single CBW requirement </w:t>
      </w:r>
      <w:r>
        <w:rPr>
          <w:rFonts w:eastAsia="바탕"/>
          <w:color w:val="000000"/>
          <w:kern w:val="2"/>
          <w:sz w:val="22"/>
          <w:lang w:val="en-US" w:eastAsia="ko-KR"/>
        </w:rPr>
        <w:t>can be extended as RAN4 already</w:t>
      </w:r>
      <w:r w:rsidRPr="00C3081B">
        <w:rPr>
          <w:rFonts w:eastAsia="바탕"/>
          <w:color w:val="000000"/>
          <w:kern w:val="2"/>
          <w:sz w:val="22"/>
          <w:lang w:val="en-US" w:eastAsia="ko-KR"/>
        </w:rPr>
        <w:t xml:space="preserve"> </w:t>
      </w:r>
      <w:r>
        <w:rPr>
          <w:rFonts w:eastAsia="바탕"/>
          <w:color w:val="000000"/>
          <w:kern w:val="2"/>
          <w:sz w:val="22"/>
          <w:lang w:val="en-US" w:eastAsia="ko-KR"/>
        </w:rPr>
        <w:t xml:space="preserve">estimated in </w:t>
      </w:r>
      <w:r w:rsidRPr="00C3081B">
        <w:rPr>
          <w:rFonts w:eastAsia="바탕"/>
          <w:color w:val="000000"/>
          <w:kern w:val="2"/>
          <w:sz w:val="22"/>
          <w:lang w:val="en-US" w:eastAsia="ko-KR"/>
        </w:rPr>
        <w:t>LTE CA</w:t>
      </w:r>
      <w:r>
        <w:rPr>
          <w:rFonts w:eastAsia="바탕"/>
          <w:color w:val="000000"/>
          <w:kern w:val="2"/>
          <w:sz w:val="22"/>
          <w:lang w:val="en-US" w:eastAsia="ko-KR"/>
        </w:rPr>
        <w:t xml:space="preserve"> operation</w:t>
      </w:r>
      <w:r w:rsidRPr="00C3081B">
        <w:rPr>
          <w:rFonts w:eastAsia="바탕"/>
          <w:color w:val="000000"/>
          <w:kern w:val="2"/>
          <w:sz w:val="22"/>
          <w:lang w:val="en-US" w:eastAsia="ko-KR"/>
        </w:rPr>
        <w:t>.</w:t>
      </w:r>
    </w:p>
    <w:p w:rsidR="00472410" w:rsidRPr="0088789F" w:rsidRDefault="00472410" w:rsidP="00E176C8">
      <w:pPr>
        <w:pStyle w:val="af1"/>
        <w:ind w:leftChars="0" w:left="0"/>
        <w:jc w:val="center"/>
        <w:rPr>
          <w:b/>
        </w:rPr>
      </w:pPr>
    </w:p>
    <w:p w:rsidR="00472410" w:rsidRPr="0047710B" w:rsidRDefault="0047710B" w:rsidP="00E176C8">
      <w:pPr>
        <w:pStyle w:val="af1"/>
        <w:ind w:leftChars="0" w:left="0"/>
        <w:jc w:val="center"/>
        <w:rPr>
          <w:b/>
          <w:lang w:val="en-GB"/>
        </w:rPr>
      </w:pPr>
      <w:r>
        <w:rPr>
          <w:b/>
        </w:rPr>
        <w:t>Table</w:t>
      </w:r>
      <w:r w:rsidRPr="00AA432F">
        <w:rPr>
          <w:b/>
        </w:rPr>
        <w:t xml:space="preserve"> </w:t>
      </w:r>
      <w:r>
        <w:rPr>
          <w:b/>
        </w:rPr>
        <w:t>1</w:t>
      </w:r>
      <w:r w:rsidRPr="00AA432F">
        <w:rPr>
          <w:b/>
        </w:rPr>
        <w:t xml:space="preserve">: </w:t>
      </w:r>
      <w:r>
        <w:rPr>
          <w:b/>
        </w:rPr>
        <w:t xml:space="preserve">How </w:t>
      </w:r>
      <w:r>
        <w:rPr>
          <w:b/>
          <w:lang w:val="en-GB"/>
        </w:rPr>
        <w:t>to define intra-band contiguous CA UE RF requirements for wideband operation</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7086"/>
      </w:tblGrid>
      <w:tr w:rsidR="00F73173" w:rsidRPr="00F225FF" w:rsidTr="0035186D">
        <w:trPr>
          <w:cantSplit/>
          <w:trHeight w:val="167"/>
          <w:jc w:val="center"/>
        </w:trPr>
        <w:tc>
          <w:tcPr>
            <w:tcW w:w="3328" w:type="dxa"/>
          </w:tcPr>
          <w:p w:rsidR="00F73173" w:rsidRPr="002712D0" w:rsidRDefault="00F73173" w:rsidP="0035186D">
            <w:pPr>
              <w:pStyle w:val="TAH"/>
              <w:rPr>
                <w:rFonts w:cs="Arial"/>
                <w:lang w:val="en-US"/>
              </w:rPr>
            </w:pPr>
            <w:r w:rsidRPr="002712D0">
              <w:rPr>
                <w:rFonts w:cs="Arial"/>
                <w:lang w:val="en-US"/>
              </w:rPr>
              <w:t>Description</w:t>
            </w:r>
          </w:p>
        </w:tc>
        <w:tc>
          <w:tcPr>
            <w:tcW w:w="7086" w:type="dxa"/>
          </w:tcPr>
          <w:p w:rsidR="00F73173" w:rsidRPr="001532D4" w:rsidRDefault="00F73173" w:rsidP="0035186D">
            <w:pPr>
              <w:pStyle w:val="TAH"/>
              <w:rPr>
                <w:rFonts w:eastAsia="맑은 고딕" w:cs="Arial"/>
                <w:lang w:val="en-US" w:eastAsia="ko-KR"/>
              </w:rPr>
            </w:pPr>
            <w:r w:rsidRPr="001532D4">
              <w:rPr>
                <w:rFonts w:eastAsia="맑은 고딕" w:cs="Arial" w:hint="eastAsia"/>
                <w:lang w:val="en-US" w:eastAsia="ko-KR"/>
              </w:rPr>
              <w:t>Intra-band contiguous wideband operation</w:t>
            </w:r>
          </w:p>
        </w:tc>
      </w:tr>
      <w:tr w:rsidR="00F73173" w:rsidRPr="00F225FF" w:rsidTr="0035186D">
        <w:trPr>
          <w:cantSplit/>
          <w:trHeight w:val="167"/>
          <w:jc w:val="center"/>
        </w:trPr>
        <w:tc>
          <w:tcPr>
            <w:tcW w:w="3328" w:type="dxa"/>
          </w:tcPr>
          <w:p w:rsidR="00F73173" w:rsidRDefault="00F73173" w:rsidP="0035186D">
            <w:pPr>
              <w:pStyle w:val="TAL"/>
              <w:rPr>
                <w:rFonts w:cs="Arial"/>
                <w:lang w:val="en-US" w:eastAsia="ko-KR"/>
              </w:rPr>
            </w:pPr>
            <w:r>
              <w:rPr>
                <w:rFonts w:cs="Arial"/>
                <w:lang w:val="en-US" w:eastAsia="ko-KR"/>
              </w:rPr>
              <w:t xml:space="preserve">Wideband </w:t>
            </w:r>
            <w:r>
              <w:rPr>
                <w:rFonts w:cs="Arial" w:hint="eastAsia"/>
                <w:lang w:val="en-US" w:eastAsia="ko-KR"/>
              </w:rPr>
              <w:t>Bandwidth</w:t>
            </w:r>
            <w:r>
              <w:rPr>
                <w:rFonts w:cs="Arial"/>
                <w:lang w:val="en-US" w:eastAsia="ko-KR"/>
              </w:rPr>
              <w:t xml:space="preserve"> </w:t>
            </w:r>
            <w:r>
              <w:rPr>
                <w:rFonts w:cs="Arial" w:hint="eastAsia"/>
                <w:lang w:val="en-US" w:eastAsia="ko-KR"/>
              </w:rPr>
              <w:t>Class</w:t>
            </w:r>
          </w:p>
        </w:tc>
        <w:tc>
          <w:tcPr>
            <w:tcW w:w="7086" w:type="dxa"/>
          </w:tcPr>
          <w:p w:rsidR="00F73173" w:rsidRDefault="0088789F" w:rsidP="0035186D">
            <w:pPr>
              <w:pStyle w:val="TAL"/>
              <w:rPr>
                <w:rFonts w:cs="Arial"/>
                <w:lang w:val="en-US" w:eastAsia="ko-KR"/>
              </w:rPr>
            </w:pPr>
            <w:r>
              <w:rPr>
                <w:rFonts w:cs="Arial"/>
                <w:lang w:val="en-US" w:eastAsia="ko-KR"/>
              </w:rPr>
              <w:t>Follow intra-band contiguous CA bandwidth class</w:t>
            </w:r>
          </w:p>
        </w:tc>
      </w:tr>
      <w:tr w:rsidR="00F73173" w:rsidRPr="00F225F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Channel spacing</w:t>
            </w:r>
          </w:p>
        </w:tc>
        <w:tc>
          <w:tcPr>
            <w:tcW w:w="7086" w:type="dxa"/>
          </w:tcPr>
          <w:p w:rsidR="00F73173" w:rsidRDefault="00F73173" w:rsidP="0035186D">
            <w:pPr>
              <w:pStyle w:val="TAL"/>
              <w:rPr>
                <w:rFonts w:cs="Arial"/>
                <w:lang w:val="en-US" w:eastAsia="ko-KR"/>
              </w:rPr>
            </w:pPr>
            <w:r>
              <w:rPr>
                <w:rFonts w:cs="Arial"/>
                <w:lang w:val="en-US" w:eastAsia="ko-KR"/>
              </w:rPr>
              <w:t>- Minimum channel spacing for 100kHz channel raster in LTE refarming bands</w:t>
            </w:r>
          </w:p>
          <w:p w:rsidR="00F73173" w:rsidRPr="002712D0" w:rsidRDefault="00F73173" w:rsidP="00F73173">
            <w:pPr>
              <w:pStyle w:val="TAL"/>
              <w:rPr>
                <w:rFonts w:cs="Arial"/>
                <w:lang w:val="en-US" w:eastAsia="ko-KR"/>
              </w:rPr>
            </w:pPr>
            <w:r>
              <w:rPr>
                <w:rFonts w:cs="Arial"/>
                <w:lang w:val="en-US" w:eastAsia="ko-KR"/>
              </w:rPr>
              <w:t>- Zero channel spacing for subcarrier based channel raster for new NR band</w:t>
            </w:r>
          </w:p>
        </w:tc>
      </w:tr>
      <w:tr w:rsidR="00F73173" w:rsidRPr="00F225FF" w:rsidTr="0035186D">
        <w:trPr>
          <w:cantSplit/>
          <w:trHeight w:val="167"/>
          <w:jc w:val="center"/>
        </w:trPr>
        <w:tc>
          <w:tcPr>
            <w:tcW w:w="3328" w:type="dxa"/>
          </w:tcPr>
          <w:p w:rsidR="00F73173" w:rsidRPr="002712D0" w:rsidRDefault="00F73173" w:rsidP="0035186D">
            <w:pPr>
              <w:pStyle w:val="TAL"/>
              <w:rPr>
                <w:rFonts w:cs="Arial"/>
                <w:lang w:val="en-US" w:eastAsia="en-US"/>
              </w:rPr>
            </w:pPr>
            <w:r w:rsidRPr="002712D0">
              <w:rPr>
                <w:rFonts w:cs="Arial"/>
                <w:lang w:val="en-US" w:eastAsia="en-US"/>
              </w:rPr>
              <w:t>UE maximum output power</w:t>
            </w:r>
          </w:p>
        </w:tc>
        <w:tc>
          <w:tcPr>
            <w:tcW w:w="7086" w:type="dxa"/>
          </w:tcPr>
          <w:p w:rsidR="00F73173" w:rsidRPr="002712D0" w:rsidRDefault="0088789F" w:rsidP="0088789F">
            <w:pPr>
              <w:pStyle w:val="TAL"/>
              <w:rPr>
                <w:rFonts w:cs="Arial"/>
                <w:lang w:val="en-US" w:eastAsia="ko-KR"/>
              </w:rPr>
            </w:pPr>
            <w:r>
              <w:rPr>
                <w:rFonts w:cs="Arial"/>
                <w:lang w:val="en-US" w:eastAsia="ko-KR"/>
              </w:rPr>
              <w:t>Follow maximum output power according to operating bands</w:t>
            </w:r>
          </w:p>
        </w:tc>
      </w:tr>
      <w:tr w:rsidR="00F73173" w:rsidRPr="00F225FF" w:rsidTr="0035186D">
        <w:trPr>
          <w:cantSplit/>
          <w:trHeight w:val="167"/>
          <w:jc w:val="center"/>
        </w:trPr>
        <w:tc>
          <w:tcPr>
            <w:tcW w:w="3328" w:type="dxa"/>
          </w:tcPr>
          <w:p w:rsidR="00F73173" w:rsidRPr="002712D0" w:rsidRDefault="00F73173" w:rsidP="0035186D">
            <w:pPr>
              <w:pStyle w:val="TAL"/>
              <w:rPr>
                <w:rFonts w:cs="Arial"/>
                <w:lang w:val="en-US" w:eastAsia="en-US"/>
              </w:rPr>
            </w:pPr>
            <w:r>
              <w:t>MPR</w:t>
            </w:r>
          </w:p>
        </w:tc>
        <w:tc>
          <w:tcPr>
            <w:tcW w:w="7086" w:type="dxa"/>
          </w:tcPr>
          <w:p w:rsidR="0088789F" w:rsidRDefault="0088789F" w:rsidP="0035186D">
            <w:pPr>
              <w:pStyle w:val="TAL"/>
              <w:rPr>
                <w:lang w:val="en-US" w:eastAsia="ko-KR"/>
              </w:rPr>
            </w:pPr>
            <w:r>
              <w:rPr>
                <w:lang w:val="en-US" w:eastAsia="ko-KR"/>
              </w:rPr>
              <w:t xml:space="preserve">Need MPR evaluate </w:t>
            </w:r>
            <w:r>
              <w:rPr>
                <w:rFonts w:hint="eastAsia"/>
                <w:lang w:eastAsia="ko-KR"/>
              </w:rPr>
              <w:t>for contiguous RB allocation and multi-clustered RB allocation</w:t>
            </w:r>
            <w:r>
              <w:rPr>
                <w:lang w:eastAsia="ko-KR"/>
              </w:rPr>
              <w:t xml:space="preserve"> for both DFT-OFDM and CP-OFDM waveform</w:t>
            </w:r>
            <w:r>
              <w:rPr>
                <w:lang w:val="en-US" w:eastAsia="ko-KR"/>
              </w:rPr>
              <w:t xml:space="preserve"> </w:t>
            </w:r>
          </w:p>
          <w:p w:rsidR="00F73173" w:rsidRDefault="00F73173" w:rsidP="0035186D">
            <w:pPr>
              <w:pStyle w:val="TAL"/>
              <w:rPr>
                <w:lang w:val="en-US" w:eastAsia="ko-KR"/>
              </w:rPr>
            </w:pPr>
            <w:r>
              <w:rPr>
                <w:lang w:val="en-US" w:eastAsia="ko-KR"/>
              </w:rPr>
              <w:t xml:space="preserve">- Range 1: CC1(100MHz) + CC2 (100MHz) </w:t>
            </w:r>
          </w:p>
          <w:p w:rsidR="00F73173" w:rsidRDefault="0088789F" w:rsidP="0088789F">
            <w:pPr>
              <w:pStyle w:val="TAL"/>
              <w:rPr>
                <w:lang w:eastAsia="ko-KR"/>
              </w:rPr>
            </w:pPr>
            <w:r>
              <w:rPr>
                <w:lang w:val="en-US" w:eastAsia="ko-KR"/>
              </w:rPr>
              <w:t>- Range 2: CC2(2</w:t>
            </w:r>
            <w:r w:rsidR="00F73173">
              <w:rPr>
                <w:lang w:val="en-US" w:eastAsia="ko-KR"/>
              </w:rPr>
              <w:t>0</w:t>
            </w:r>
            <w:r>
              <w:rPr>
                <w:lang w:val="en-US" w:eastAsia="ko-KR"/>
              </w:rPr>
              <w:t>0MHz) + CC2 (2</w:t>
            </w:r>
            <w:r w:rsidR="00F73173">
              <w:rPr>
                <w:lang w:val="en-US" w:eastAsia="ko-KR"/>
              </w:rPr>
              <w:t xml:space="preserve">00MHz) </w:t>
            </w:r>
          </w:p>
          <w:p w:rsidR="0088789F" w:rsidRPr="009715C6" w:rsidRDefault="0088789F" w:rsidP="0088789F">
            <w:pPr>
              <w:pStyle w:val="TAL"/>
              <w:rPr>
                <w:lang w:eastAsia="ko-KR"/>
              </w:rPr>
            </w:pPr>
            <w:r>
              <w:rPr>
                <w:lang w:val="en-US" w:eastAsia="ko-KR"/>
              </w:rPr>
              <w:t xml:space="preserve">Also </w:t>
            </w:r>
            <w:r>
              <w:rPr>
                <w:lang w:eastAsia="ko-KR"/>
              </w:rPr>
              <w:t xml:space="preserve">consider multiple cluster (up to 2 cluster) transmission in single CC </w:t>
            </w:r>
          </w:p>
        </w:tc>
      </w:tr>
      <w:tr w:rsidR="00F73173" w:rsidRPr="00DA24CC" w:rsidTr="0035186D">
        <w:trPr>
          <w:cantSplit/>
          <w:trHeight w:val="167"/>
          <w:jc w:val="center"/>
        </w:trPr>
        <w:tc>
          <w:tcPr>
            <w:tcW w:w="3328" w:type="dxa"/>
          </w:tcPr>
          <w:p w:rsidR="00F73173" w:rsidRPr="002712D0" w:rsidRDefault="00F73173" w:rsidP="0035186D">
            <w:pPr>
              <w:pStyle w:val="TAL"/>
              <w:rPr>
                <w:rFonts w:cs="Arial"/>
                <w:lang w:val="en-US" w:eastAsia="en-US"/>
              </w:rPr>
            </w:pPr>
            <w:r>
              <w:t>A-MPR</w:t>
            </w:r>
          </w:p>
        </w:tc>
        <w:tc>
          <w:tcPr>
            <w:tcW w:w="7086" w:type="dxa"/>
          </w:tcPr>
          <w:p w:rsidR="00F73173" w:rsidRPr="009715C6" w:rsidRDefault="0088789F" w:rsidP="0088789F">
            <w:pPr>
              <w:pStyle w:val="TAL"/>
              <w:rPr>
                <w:lang w:eastAsia="ko-KR"/>
              </w:rPr>
            </w:pPr>
            <w:r>
              <w:rPr>
                <w:lang w:val="en-US" w:eastAsia="ko-KR"/>
              </w:rPr>
              <w:t>It is de</w:t>
            </w:r>
            <w:r>
              <w:rPr>
                <w:lang w:eastAsia="ko-KR"/>
              </w:rPr>
              <w:t>pend on general SEM/SE or specific requirements for additional SE and SEM according to operation band regulatory aspects.</w:t>
            </w:r>
          </w:p>
        </w:tc>
      </w:tr>
      <w:tr w:rsidR="00F73173" w:rsidRPr="00DA24CC" w:rsidTr="0035186D">
        <w:trPr>
          <w:cantSplit/>
          <w:trHeight w:val="167"/>
          <w:jc w:val="center"/>
        </w:trPr>
        <w:tc>
          <w:tcPr>
            <w:tcW w:w="3328" w:type="dxa"/>
          </w:tcPr>
          <w:p w:rsidR="00F73173" w:rsidRPr="002712D0" w:rsidRDefault="00F73173" w:rsidP="0035186D">
            <w:pPr>
              <w:pStyle w:val="TAL"/>
              <w:rPr>
                <w:rFonts w:cs="Arial"/>
                <w:lang w:val="en-US" w:eastAsia="en-US"/>
              </w:rPr>
            </w:pPr>
            <w:r w:rsidRPr="002712D0">
              <w:rPr>
                <w:rFonts w:cs="Arial" w:hint="eastAsia"/>
                <w:lang w:val="en-US" w:eastAsia="ko-KR"/>
              </w:rPr>
              <w:t>Co</w:t>
            </w:r>
            <w:r>
              <w:rPr>
                <w:rFonts w:cs="Arial" w:hint="eastAsia"/>
                <w:lang w:val="en-US" w:eastAsia="ko-KR"/>
              </w:rPr>
              <w:t>nfigured transmitted Power</w:t>
            </w:r>
          </w:p>
        </w:tc>
        <w:tc>
          <w:tcPr>
            <w:tcW w:w="7086" w:type="dxa"/>
          </w:tcPr>
          <w:p w:rsidR="00F73173" w:rsidRDefault="00F73173" w:rsidP="0035186D">
            <w:pPr>
              <w:pStyle w:val="TAL"/>
              <w:rPr>
                <w:rFonts w:cs="Arial"/>
                <w:lang w:val="en-US" w:eastAsia="ko-KR"/>
              </w:rPr>
            </w:pPr>
            <w:r>
              <w:rPr>
                <w:rFonts w:cs="Arial"/>
                <w:lang w:val="en-US" w:eastAsia="ko-KR"/>
              </w:rPr>
              <w:t xml:space="preserve">Define configured Tx power </w:t>
            </w:r>
            <w:r>
              <w:rPr>
                <w:rFonts w:cs="Arial" w:hint="eastAsia"/>
                <w:lang w:val="en-US" w:eastAsia="ko-KR"/>
              </w:rPr>
              <w:t xml:space="preserve">Per UE based </w:t>
            </w:r>
          </w:p>
          <w:p w:rsidR="00F73173" w:rsidRDefault="00F73173" w:rsidP="0035186D">
            <w:pPr>
              <w:pStyle w:val="TAL"/>
              <w:rPr>
                <w:lang w:val="en-US" w:eastAsia="ko-KR"/>
              </w:rPr>
            </w:pPr>
            <w:r>
              <w:rPr>
                <w:rFonts w:cs="Arial"/>
                <w:lang w:val="en-US" w:eastAsia="ko-KR"/>
              </w:rPr>
              <w:t xml:space="preserve">- </w:t>
            </w:r>
            <w:r>
              <w:rPr>
                <w:lang w:val="en-US" w:eastAsia="ko-KR"/>
              </w:rPr>
              <w:t>Range 1: Consider Power sharing mechanism</w:t>
            </w:r>
          </w:p>
          <w:p w:rsidR="00F73173" w:rsidRPr="009B2D58" w:rsidRDefault="00F73173" w:rsidP="0035186D">
            <w:pPr>
              <w:pStyle w:val="TAL"/>
              <w:rPr>
                <w:lang w:val="en-US" w:eastAsia="ko-KR"/>
              </w:rPr>
            </w:pPr>
            <w:r>
              <w:rPr>
                <w:lang w:val="en-US" w:eastAsia="ko-KR"/>
              </w:rPr>
              <w:t>- Range 2: Consider OTA power for total aggregated CBW</w:t>
            </w:r>
          </w:p>
        </w:tc>
      </w:tr>
      <w:tr w:rsidR="00F73173" w:rsidRPr="00DA24CC"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UE Minimum output power</w:t>
            </w:r>
          </w:p>
        </w:tc>
        <w:tc>
          <w:tcPr>
            <w:tcW w:w="7086" w:type="dxa"/>
          </w:tcPr>
          <w:p w:rsidR="00F73173" w:rsidRDefault="00F73173" w:rsidP="0035186D">
            <w:pPr>
              <w:pStyle w:val="TAL"/>
              <w:rPr>
                <w:rFonts w:cs="Arial"/>
                <w:lang w:val="en-US" w:eastAsia="ko-KR"/>
              </w:rPr>
            </w:pPr>
            <w:r>
              <w:rPr>
                <w:rFonts w:cs="Arial"/>
                <w:lang w:val="en-US" w:eastAsia="ko-KR"/>
              </w:rPr>
              <w:t xml:space="preserve">Define </w:t>
            </w:r>
            <w:r>
              <w:rPr>
                <w:rFonts w:cs="Arial" w:hint="eastAsia"/>
                <w:lang w:val="en-US" w:eastAsia="ko-KR"/>
              </w:rPr>
              <w:t>Per CC</w:t>
            </w:r>
          </w:p>
        </w:tc>
      </w:tr>
      <w:tr w:rsidR="00F73173" w:rsidRPr="00DA24CC"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UE Transmit OFF power</w:t>
            </w:r>
          </w:p>
        </w:tc>
        <w:tc>
          <w:tcPr>
            <w:tcW w:w="7086" w:type="dxa"/>
          </w:tcPr>
          <w:p w:rsidR="00F73173" w:rsidRDefault="00F73173" w:rsidP="0035186D">
            <w:pPr>
              <w:pStyle w:val="TAL"/>
              <w:rPr>
                <w:rFonts w:cs="Arial"/>
                <w:lang w:val="en-US" w:eastAsia="ko-KR"/>
              </w:rPr>
            </w:pPr>
            <w:r>
              <w:rPr>
                <w:rFonts w:cs="Arial" w:hint="eastAsia"/>
                <w:lang w:val="en-US" w:eastAsia="ko-KR"/>
              </w:rPr>
              <w:t>Define per CC</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ON/OFF time mask</w:t>
            </w:r>
          </w:p>
        </w:tc>
        <w:tc>
          <w:tcPr>
            <w:tcW w:w="7086" w:type="dxa"/>
          </w:tcPr>
          <w:p w:rsidR="00F73173" w:rsidRDefault="00F73173" w:rsidP="0035186D">
            <w:pPr>
              <w:pStyle w:val="TAL"/>
              <w:rPr>
                <w:rFonts w:cs="Arial"/>
                <w:lang w:val="en-US" w:eastAsia="ko-KR"/>
              </w:rPr>
            </w:pPr>
            <w:r>
              <w:rPr>
                <w:rFonts w:cs="Arial" w:hint="eastAsia"/>
                <w:lang w:val="en-US" w:eastAsia="ko-KR"/>
              </w:rPr>
              <w:t>Define per CC</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Power control</w:t>
            </w:r>
          </w:p>
        </w:tc>
        <w:tc>
          <w:tcPr>
            <w:tcW w:w="7086" w:type="dxa"/>
          </w:tcPr>
          <w:p w:rsidR="00F73173" w:rsidRDefault="00F73173" w:rsidP="0035186D">
            <w:pPr>
              <w:pStyle w:val="TAL"/>
              <w:rPr>
                <w:rFonts w:cs="Arial"/>
                <w:lang w:val="en-US" w:eastAsia="ko-KR"/>
              </w:rPr>
            </w:pPr>
            <w:r>
              <w:rPr>
                <w:rFonts w:cs="Arial" w:hint="eastAsia"/>
                <w:lang w:val="en-US" w:eastAsia="ko-KR"/>
              </w:rPr>
              <w:t>Define per CC</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Frequency error</w:t>
            </w:r>
          </w:p>
        </w:tc>
        <w:tc>
          <w:tcPr>
            <w:tcW w:w="7086" w:type="dxa"/>
          </w:tcPr>
          <w:p w:rsidR="00F73173" w:rsidRDefault="00F73173" w:rsidP="0035186D">
            <w:pPr>
              <w:pStyle w:val="TAL"/>
              <w:rPr>
                <w:rFonts w:cs="Arial"/>
                <w:lang w:val="en-US" w:eastAsia="ko-KR"/>
              </w:rPr>
            </w:pPr>
            <w:r>
              <w:rPr>
                <w:rFonts w:cs="Arial" w:hint="eastAsia"/>
                <w:lang w:val="en-US" w:eastAsia="ko-KR"/>
              </w:rPr>
              <w:t>Only Define PCC for frequency error</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sidRPr="002712D0">
              <w:rPr>
                <w:rFonts w:cs="Arial" w:hint="eastAsia"/>
                <w:lang w:val="en-US" w:eastAsia="ko-KR"/>
              </w:rPr>
              <w:t>Tr</w:t>
            </w:r>
            <w:r>
              <w:rPr>
                <w:rFonts w:cs="Arial" w:hint="eastAsia"/>
                <w:lang w:val="en-US" w:eastAsia="ko-KR"/>
              </w:rPr>
              <w:t>ansmit modulation quality</w:t>
            </w:r>
          </w:p>
        </w:tc>
        <w:tc>
          <w:tcPr>
            <w:tcW w:w="7086" w:type="dxa"/>
          </w:tcPr>
          <w:p w:rsidR="00F73173" w:rsidRDefault="00F73173" w:rsidP="0035186D">
            <w:pPr>
              <w:pStyle w:val="TAL"/>
              <w:rPr>
                <w:rFonts w:cs="Arial"/>
                <w:lang w:val="en-US" w:eastAsia="ko-KR"/>
              </w:rPr>
            </w:pPr>
            <w:r>
              <w:rPr>
                <w:rFonts w:cs="Arial"/>
                <w:lang w:val="en-US" w:eastAsia="ko-KR"/>
              </w:rPr>
              <w:t xml:space="preserve">- </w:t>
            </w:r>
            <w:r>
              <w:rPr>
                <w:rFonts w:cs="Arial" w:hint="eastAsia"/>
                <w:lang w:val="en-US" w:eastAsia="ko-KR"/>
              </w:rPr>
              <w:t>EVM</w:t>
            </w:r>
            <w:r>
              <w:rPr>
                <w:rFonts w:cs="Arial"/>
                <w:lang w:val="en-US" w:eastAsia="ko-KR"/>
              </w:rPr>
              <w:t xml:space="preserve"> Per CC</w:t>
            </w:r>
          </w:p>
          <w:p w:rsidR="00F73173" w:rsidRDefault="00F73173" w:rsidP="0035186D">
            <w:pPr>
              <w:pStyle w:val="TAL"/>
              <w:rPr>
                <w:rFonts w:cs="Arial"/>
                <w:lang w:val="en-US" w:eastAsia="ko-KR"/>
              </w:rPr>
            </w:pPr>
            <w:r>
              <w:rPr>
                <w:rFonts w:cs="Arial"/>
                <w:lang w:val="en-US" w:eastAsia="ko-KR"/>
              </w:rPr>
              <w:t>- Carrier leakage : per CC</w:t>
            </w:r>
          </w:p>
          <w:p w:rsidR="00F73173" w:rsidRPr="002712D0" w:rsidRDefault="00F73173" w:rsidP="0035186D">
            <w:pPr>
              <w:pStyle w:val="TAL"/>
              <w:rPr>
                <w:rFonts w:cs="Arial"/>
                <w:lang w:val="en-US" w:eastAsia="ko-KR"/>
              </w:rPr>
            </w:pPr>
            <w:r>
              <w:rPr>
                <w:rFonts w:cs="Arial"/>
                <w:lang w:val="en-US" w:eastAsia="ko-KR"/>
              </w:rPr>
              <w:t>- In-band emission: Apply within total aggregated CBW when both CCs are active</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sidRPr="002712D0">
              <w:rPr>
                <w:rFonts w:cs="Arial" w:hint="eastAsia"/>
                <w:lang w:val="en-US" w:eastAsia="ko-KR"/>
              </w:rPr>
              <w:t>Adjacent Channel Leakage Ratio</w:t>
            </w:r>
          </w:p>
        </w:tc>
        <w:tc>
          <w:tcPr>
            <w:tcW w:w="7086" w:type="dxa"/>
          </w:tcPr>
          <w:p w:rsidR="00F73173" w:rsidRPr="002712D0" w:rsidRDefault="00F73173" w:rsidP="0035186D">
            <w:pPr>
              <w:pStyle w:val="TAL"/>
              <w:rPr>
                <w:rFonts w:cs="Arial"/>
                <w:lang w:val="en-US" w:eastAsia="ko-KR"/>
              </w:rPr>
            </w:pPr>
            <w:r>
              <w:rPr>
                <w:rFonts w:cs="Arial" w:hint="eastAsia"/>
                <w:lang w:val="en-US" w:eastAsia="ko-KR"/>
              </w:rPr>
              <w:t>Define same principle as LTE system for total aggregated CBW</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lang w:val="en-US" w:eastAsia="ko-KR"/>
              </w:rPr>
              <w:t>SEM</w:t>
            </w:r>
          </w:p>
        </w:tc>
        <w:tc>
          <w:tcPr>
            <w:tcW w:w="7086" w:type="dxa"/>
          </w:tcPr>
          <w:p w:rsidR="00F73173" w:rsidRDefault="00F73173" w:rsidP="0035186D">
            <w:pPr>
              <w:pStyle w:val="TAL"/>
              <w:rPr>
                <w:rFonts w:cs="Arial"/>
                <w:lang w:val="en-US" w:eastAsia="ko-KR"/>
              </w:rPr>
            </w:pPr>
            <w:r>
              <w:rPr>
                <w:rFonts w:cs="Arial" w:hint="eastAsia"/>
                <w:lang w:val="en-US" w:eastAsia="ko-KR"/>
              </w:rPr>
              <w:t xml:space="preserve">- </w:t>
            </w:r>
            <w:r>
              <w:rPr>
                <w:rFonts w:cs="Arial"/>
                <w:lang w:val="en-US" w:eastAsia="ko-KR"/>
              </w:rPr>
              <w:t>Range 1: follow same LTE rule to make SEM requirements levels</w:t>
            </w:r>
          </w:p>
          <w:p w:rsidR="00F73173" w:rsidRDefault="00F73173" w:rsidP="0035186D">
            <w:pPr>
              <w:pStyle w:val="TAL"/>
              <w:rPr>
                <w:rFonts w:cs="Arial"/>
                <w:lang w:val="en-US" w:eastAsia="ko-KR"/>
              </w:rPr>
            </w:pPr>
            <w:r>
              <w:rPr>
                <w:rFonts w:cs="Arial"/>
                <w:lang w:val="en-US" w:eastAsia="ko-KR"/>
              </w:rPr>
              <w:t>- Range 2: reuse OOB region is 2x total aggregated CBW at mmWave</w:t>
            </w:r>
          </w:p>
        </w:tc>
      </w:tr>
      <w:tr w:rsidR="00F73173" w:rsidRPr="009D23DF" w:rsidTr="0035186D">
        <w:trPr>
          <w:cantSplit/>
          <w:trHeight w:val="167"/>
          <w:jc w:val="center"/>
        </w:trPr>
        <w:tc>
          <w:tcPr>
            <w:tcW w:w="3328" w:type="dxa"/>
          </w:tcPr>
          <w:p w:rsidR="00F73173" w:rsidRPr="002712D0" w:rsidRDefault="00F73173" w:rsidP="0035186D">
            <w:pPr>
              <w:pStyle w:val="TAL"/>
              <w:rPr>
                <w:rFonts w:cs="Arial"/>
                <w:lang w:val="en-US" w:eastAsia="ko-KR"/>
              </w:rPr>
            </w:pPr>
            <w:r>
              <w:rPr>
                <w:rFonts w:cs="Arial" w:hint="eastAsia"/>
                <w:lang w:val="en-US" w:eastAsia="ko-KR"/>
              </w:rPr>
              <w:t>Spurious Emission</w:t>
            </w:r>
          </w:p>
        </w:tc>
        <w:tc>
          <w:tcPr>
            <w:tcW w:w="7086" w:type="dxa"/>
          </w:tcPr>
          <w:p w:rsidR="00F73173" w:rsidRDefault="00F73173" w:rsidP="0035186D">
            <w:pPr>
              <w:pStyle w:val="TAL"/>
              <w:rPr>
                <w:rFonts w:cs="Arial"/>
                <w:lang w:val="en-US" w:eastAsia="ko-KR"/>
              </w:rPr>
            </w:pPr>
            <w:r>
              <w:rPr>
                <w:rFonts w:cs="Arial" w:hint="eastAsia"/>
                <w:lang w:val="en-US" w:eastAsia="ko-KR"/>
              </w:rPr>
              <w:t xml:space="preserve">- </w:t>
            </w:r>
            <w:r>
              <w:rPr>
                <w:rFonts w:cs="Arial"/>
                <w:lang w:val="en-US" w:eastAsia="ko-KR"/>
              </w:rPr>
              <w:t>Range 1: follow same LTE rule for General SE levels</w:t>
            </w:r>
          </w:p>
          <w:p w:rsidR="00F73173" w:rsidRDefault="00F73173" w:rsidP="0035186D">
            <w:pPr>
              <w:pStyle w:val="TAL"/>
              <w:rPr>
                <w:rFonts w:cs="Arial"/>
                <w:lang w:val="en-US" w:eastAsia="ko-KR"/>
              </w:rPr>
            </w:pPr>
            <w:r>
              <w:rPr>
                <w:rFonts w:cs="Arial"/>
                <w:lang w:val="en-US" w:eastAsia="ko-KR"/>
              </w:rPr>
              <w:t>- Range 2: follow RAN4 decision and reuse for general SE at Single CC</w:t>
            </w:r>
          </w:p>
        </w:tc>
      </w:tr>
      <w:tr w:rsidR="00F73173" w:rsidRPr="009D23DF" w:rsidTr="0035186D">
        <w:trPr>
          <w:cantSplit/>
          <w:trHeight w:val="167"/>
          <w:jc w:val="center"/>
        </w:trPr>
        <w:tc>
          <w:tcPr>
            <w:tcW w:w="3328" w:type="dxa"/>
          </w:tcPr>
          <w:p w:rsidR="00F73173" w:rsidRDefault="00F73173" w:rsidP="0035186D">
            <w:pPr>
              <w:pStyle w:val="TAL"/>
              <w:rPr>
                <w:rFonts w:cs="Arial"/>
                <w:lang w:val="en-US" w:eastAsia="ko-KR"/>
              </w:rPr>
            </w:pPr>
            <w:r>
              <w:rPr>
                <w:rFonts w:cs="Arial" w:hint="eastAsia"/>
                <w:lang w:val="en-US" w:eastAsia="ko-KR"/>
              </w:rPr>
              <w:t>Transmit intermodulation</w:t>
            </w:r>
          </w:p>
        </w:tc>
        <w:tc>
          <w:tcPr>
            <w:tcW w:w="7086" w:type="dxa"/>
          </w:tcPr>
          <w:p w:rsidR="00F73173" w:rsidRDefault="00F73173" w:rsidP="0035186D">
            <w:pPr>
              <w:pStyle w:val="TAL"/>
              <w:rPr>
                <w:rFonts w:cs="Arial"/>
                <w:lang w:val="en-US" w:eastAsia="ko-KR"/>
              </w:rPr>
            </w:pPr>
            <w:r>
              <w:rPr>
                <w:rFonts w:cs="Arial" w:hint="eastAsia"/>
                <w:lang w:val="en-US" w:eastAsia="ko-KR"/>
              </w:rPr>
              <w:t xml:space="preserve">Follow same LTE rule for </w:t>
            </w:r>
            <w:r>
              <w:rPr>
                <w:rFonts w:cs="Arial"/>
                <w:lang w:val="en-US" w:eastAsia="ko-KR"/>
              </w:rPr>
              <w:t>total aggregated CBW</w:t>
            </w:r>
          </w:p>
        </w:tc>
      </w:tr>
    </w:tbl>
    <w:p w:rsidR="00B818E2" w:rsidRDefault="00B818E2" w:rsidP="0047710B">
      <w:pPr>
        <w:jc w:val="both"/>
        <w:rPr>
          <w:sz w:val="22"/>
          <w:lang w:val="en-US" w:eastAsia="ko-KR"/>
        </w:rPr>
      </w:pPr>
    </w:p>
    <w:p w:rsidR="0047710B" w:rsidRDefault="0047710B" w:rsidP="0047710B">
      <w:pPr>
        <w:adjustRightInd w:val="0"/>
        <w:spacing w:after="120"/>
        <w:rPr>
          <w:rFonts w:eastAsia="바탕"/>
          <w:sz w:val="22"/>
        </w:rPr>
      </w:pPr>
      <w:r w:rsidRPr="00957113">
        <w:rPr>
          <w:rFonts w:eastAsia="바탕" w:hint="eastAsia"/>
          <w:b/>
          <w:i/>
          <w:sz w:val="22"/>
        </w:rPr>
        <w:t>P</w:t>
      </w:r>
      <w:r>
        <w:rPr>
          <w:rFonts w:eastAsia="바탕" w:hint="eastAsia"/>
          <w:b/>
          <w:i/>
          <w:sz w:val="22"/>
        </w:rPr>
        <w:t>roposal 4</w:t>
      </w:r>
      <w:r w:rsidRPr="00957113">
        <w:rPr>
          <w:rFonts w:eastAsia="바탕" w:hint="eastAsia"/>
          <w:b/>
          <w:i/>
          <w:sz w:val="22"/>
        </w:rPr>
        <w:t>:</w:t>
      </w:r>
      <w:r>
        <w:rPr>
          <w:rFonts w:eastAsia="바탕" w:hint="eastAsia"/>
          <w:sz w:val="22"/>
        </w:rPr>
        <w:t xml:space="preserve"> </w:t>
      </w:r>
      <w:r w:rsidR="00E62DED">
        <w:rPr>
          <w:rFonts w:eastAsia="바탕"/>
          <w:sz w:val="22"/>
        </w:rPr>
        <w:t xml:space="preserve">Table 1 should </w:t>
      </w:r>
      <w:r>
        <w:rPr>
          <w:rFonts w:eastAsia="바탕"/>
          <w:sz w:val="22"/>
        </w:rPr>
        <w:t>consider to specify intra-band contiguous CA UE RF requirements.</w:t>
      </w:r>
    </w:p>
    <w:p w:rsidR="0047710B" w:rsidRPr="00E62DED" w:rsidRDefault="0047710B" w:rsidP="0047710B">
      <w:pPr>
        <w:jc w:val="both"/>
        <w:rPr>
          <w:sz w:val="22"/>
          <w:lang w:eastAsia="ko-KR"/>
        </w:rPr>
      </w:pPr>
    </w:p>
    <w:p w:rsidR="00DD0850" w:rsidRPr="009A493A" w:rsidRDefault="00DD0850" w:rsidP="00DD0850">
      <w:pPr>
        <w:pStyle w:val="1"/>
        <w:keepNext w:val="0"/>
        <w:widowControl w:val="0"/>
        <w:numPr>
          <w:ilvl w:val="0"/>
          <w:numId w:val="11"/>
        </w:numPr>
        <w:tabs>
          <w:tab w:val="num" w:pos="820"/>
        </w:tabs>
        <w:autoSpaceDE w:val="0"/>
        <w:autoSpaceDN w:val="0"/>
        <w:adjustRightInd w:val="0"/>
        <w:ind w:right="0"/>
        <w:jc w:val="both"/>
        <w:rPr>
          <w:rFonts w:ascii="Times New Roman" w:hAnsi="Times New Roman"/>
          <w:bCs/>
          <w:sz w:val="28"/>
          <w:szCs w:val="28"/>
          <w:lang w:val="en-US" w:eastAsia="ko-KR"/>
        </w:rPr>
      </w:pPr>
      <w:r w:rsidRPr="009A493A">
        <w:rPr>
          <w:rFonts w:ascii="Times New Roman" w:hAnsi="Times New Roman" w:hint="eastAsia"/>
          <w:bCs/>
          <w:sz w:val="28"/>
          <w:szCs w:val="28"/>
          <w:lang w:val="en-US" w:eastAsia="ko-KR"/>
        </w:rPr>
        <w:lastRenderedPageBreak/>
        <w:t>Conclusion</w:t>
      </w:r>
    </w:p>
    <w:p w:rsidR="00DD0850" w:rsidRDefault="00DD0850" w:rsidP="00DD0850">
      <w:pPr>
        <w:ind w:firstLine="425"/>
        <w:jc w:val="both"/>
        <w:rPr>
          <w:sz w:val="22"/>
          <w:lang w:val="en-US" w:eastAsia="ko-KR"/>
        </w:rPr>
      </w:pPr>
      <w:r w:rsidRPr="00C55F11">
        <w:rPr>
          <w:rFonts w:eastAsia="바탕" w:hint="eastAsia"/>
          <w:color w:val="000000"/>
          <w:kern w:val="2"/>
          <w:sz w:val="22"/>
          <w:lang w:val="en-US" w:eastAsia="ko-KR"/>
        </w:rPr>
        <w:t xml:space="preserve">In this contribution, </w:t>
      </w:r>
      <w:r w:rsidRPr="00C55F11">
        <w:rPr>
          <w:rFonts w:eastAsia="바탕"/>
          <w:color w:val="000000"/>
          <w:kern w:val="2"/>
          <w:sz w:val="22"/>
          <w:lang w:val="en-US" w:eastAsia="ko-KR"/>
        </w:rPr>
        <w:t>we provide</w:t>
      </w:r>
      <w:r>
        <w:rPr>
          <w:rFonts w:eastAsia="바탕" w:hint="eastAsia"/>
          <w:color w:val="000000"/>
          <w:kern w:val="2"/>
          <w:sz w:val="22"/>
          <w:lang w:val="en-US" w:eastAsia="ko-KR"/>
        </w:rPr>
        <w:t>d</w:t>
      </w:r>
      <w:r w:rsidRPr="00C55F11">
        <w:rPr>
          <w:rFonts w:eastAsia="바탕"/>
          <w:color w:val="000000"/>
          <w:kern w:val="2"/>
          <w:sz w:val="22"/>
          <w:lang w:val="en-US" w:eastAsia="ko-KR"/>
        </w:rPr>
        <w:t xml:space="preserve"> our </w:t>
      </w:r>
      <w:r w:rsidR="0047710B">
        <w:rPr>
          <w:rFonts w:eastAsia="바탕"/>
          <w:color w:val="000000"/>
          <w:kern w:val="2"/>
          <w:sz w:val="22"/>
          <w:lang w:val="en-US" w:eastAsia="ko-KR"/>
        </w:rPr>
        <w:t xml:space="preserve">view on related wideband operation of </w:t>
      </w:r>
      <w:r w:rsidRPr="00C55F11">
        <w:rPr>
          <w:rFonts w:eastAsia="바탕"/>
          <w:color w:val="000000"/>
          <w:kern w:val="2"/>
          <w:sz w:val="22"/>
          <w:lang w:val="en-US" w:eastAsia="ko-KR"/>
        </w:rPr>
        <w:t>NR</w:t>
      </w:r>
      <w:r w:rsidR="0047710B">
        <w:rPr>
          <w:rFonts w:eastAsia="바탕"/>
          <w:color w:val="000000"/>
          <w:kern w:val="2"/>
          <w:sz w:val="22"/>
          <w:lang w:val="en-US" w:eastAsia="ko-KR"/>
        </w:rPr>
        <w:t xml:space="preserve"> CA UE</w:t>
      </w:r>
      <w:r w:rsidRPr="00C55F11">
        <w:rPr>
          <w:rFonts w:eastAsia="바탕"/>
          <w:color w:val="000000"/>
          <w:kern w:val="2"/>
          <w:sz w:val="22"/>
          <w:lang w:val="en-US" w:eastAsia="ko-KR"/>
        </w:rPr>
        <w:t>.</w:t>
      </w:r>
      <w:r>
        <w:rPr>
          <w:sz w:val="22"/>
          <w:lang w:val="en-US" w:eastAsia="ko-KR"/>
        </w:rPr>
        <w:t xml:space="preserve"> Based on</w:t>
      </w:r>
      <w:r>
        <w:rPr>
          <w:rFonts w:hint="eastAsia"/>
          <w:sz w:val="22"/>
          <w:lang w:val="en-US" w:eastAsia="ko-KR"/>
        </w:rPr>
        <w:t xml:space="preserve"> </w:t>
      </w:r>
      <w:r w:rsidR="0047710B">
        <w:rPr>
          <w:sz w:val="22"/>
          <w:lang w:val="en-US" w:eastAsia="ko-KR"/>
        </w:rPr>
        <w:t>the analysis</w:t>
      </w:r>
      <w:r>
        <w:rPr>
          <w:sz w:val="22"/>
          <w:lang w:val="en-US" w:eastAsia="ko-KR"/>
        </w:rPr>
        <w:t>, we proposed as below</w:t>
      </w:r>
    </w:p>
    <w:p w:rsidR="00DD0850" w:rsidRDefault="00DD0850" w:rsidP="00DD0850">
      <w:pPr>
        <w:adjustRightInd w:val="0"/>
        <w:spacing w:after="120"/>
        <w:rPr>
          <w:rFonts w:eastAsia="바탕"/>
          <w:b/>
          <w:i/>
          <w:sz w:val="22"/>
          <w:lang w:val="en-US"/>
        </w:rPr>
      </w:pPr>
    </w:p>
    <w:p w:rsidR="00DD0850" w:rsidRPr="00F15A51" w:rsidRDefault="00DD0850" w:rsidP="00DD0850">
      <w:pPr>
        <w:adjustRightInd w:val="0"/>
        <w:spacing w:after="120"/>
        <w:rPr>
          <w:rFonts w:eastAsia="바탕"/>
          <w:sz w:val="22"/>
        </w:rPr>
      </w:pPr>
      <w:r w:rsidRPr="00F15A51">
        <w:rPr>
          <w:rFonts w:eastAsia="바탕" w:hint="eastAsia"/>
          <w:b/>
          <w:i/>
          <w:sz w:val="22"/>
        </w:rPr>
        <w:t>Proposal 1:</w:t>
      </w:r>
      <w:r w:rsidRPr="00F15A51">
        <w:rPr>
          <w:rFonts w:eastAsia="바탕" w:hint="eastAsia"/>
          <w:sz w:val="22"/>
        </w:rPr>
        <w:t xml:space="preserve"> Define d</w:t>
      </w:r>
      <w:r w:rsidRPr="00F15A51">
        <w:rPr>
          <w:rFonts w:eastAsia="바탕"/>
          <w:sz w:val="22"/>
        </w:rPr>
        <w:t>efault</w:t>
      </w:r>
      <w:r w:rsidRPr="00F15A51">
        <w:rPr>
          <w:rFonts w:eastAsia="바탕" w:hint="eastAsia"/>
          <w:sz w:val="22"/>
        </w:rPr>
        <w:t xml:space="preserve"> SU for intra-band non-contiguous CA based on sum of SU for individual CCs.</w:t>
      </w:r>
      <w:r w:rsidRPr="00F15A51">
        <w:rPr>
          <w:rFonts w:eastAsia="바탕"/>
          <w:sz w:val="22"/>
        </w:rPr>
        <w:t xml:space="preserve"> As UE capability, some UE can support </w:t>
      </w:r>
      <w:r w:rsidRPr="00F15A51">
        <w:rPr>
          <w:rFonts w:eastAsia="바탕" w:hint="eastAsia"/>
          <w:sz w:val="22"/>
        </w:rPr>
        <w:t xml:space="preserve">overall SU based on wider channel bandwidth </w:t>
      </w:r>
      <w:r w:rsidRPr="00F15A51">
        <w:rPr>
          <w:rFonts w:eastAsia="바탕"/>
          <w:sz w:val="22"/>
        </w:rPr>
        <w:t>for wideband operation</w:t>
      </w:r>
      <w:r w:rsidRPr="00F15A51">
        <w:rPr>
          <w:rFonts w:eastAsia="바탕" w:hint="eastAsia"/>
          <w:sz w:val="22"/>
        </w:rPr>
        <w:t>.</w:t>
      </w:r>
    </w:p>
    <w:p w:rsidR="00472410" w:rsidRPr="00F15A51" w:rsidRDefault="00472410" w:rsidP="00472410">
      <w:pPr>
        <w:adjustRightInd w:val="0"/>
        <w:spacing w:after="120"/>
        <w:jc w:val="both"/>
        <w:rPr>
          <w:rFonts w:eastAsia="바탕"/>
          <w:sz w:val="22"/>
        </w:rPr>
      </w:pPr>
      <w:r w:rsidRPr="00F15A51">
        <w:rPr>
          <w:rFonts w:eastAsia="바탕" w:hint="eastAsia"/>
          <w:b/>
          <w:i/>
          <w:sz w:val="22"/>
        </w:rPr>
        <w:t xml:space="preserve">Proposal </w:t>
      </w:r>
      <w:r>
        <w:rPr>
          <w:rFonts w:eastAsia="바탕"/>
          <w:b/>
          <w:i/>
          <w:sz w:val="22"/>
        </w:rPr>
        <w:t>2</w:t>
      </w:r>
      <w:r w:rsidRPr="00F15A51">
        <w:rPr>
          <w:rFonts w:eastAsia="바탕" w:hint="eastAsia"/>
          <w:b/>
          <w:i/>
          <w:sz w:val="22"/>
        </w:rPr>
        <w:t>:</w:t>
      </w:r>
      <w:r w:rsidRPr="00F15A51">
        <w:rPr>
          <w:rFonts w:eastAsia="바탕" w:hint="eastAsia"/>
          <w:sz w:val="22"/>
        </w:rPr>
        <w:t xml:space="preserve"> </w:t>
      </w:r>
      <w:r>
        <w:rPr>
          <w:rFonts w:eastAsia="바탕"/>
          <w:sz w:val="22"/>
        </w:rPr>
        <w:t>The same numerologies for wideband operation with multiple BWPs is 1</w:t>
      </w:r>
      <w:r w:rsidRPr="000B63CC">
        <w:rPr>
          <w:rFonts w:eastAsia="바탕"/>
          <w:sz w:val="22"/>
          <w:vertAlign w:val="superscript"/>
        </w:rPr>
        <w:t>st</w:t>
      </w:r>
      <w:r>
        <w:rPr>
          <w:rFonts w:eastAsia="바탕"/>
          <w:sz w:val="22"/>
        </w:rPr>
        <w:t xml:space="preserve"> priority in rel-15. Different numerologies might be support as UE capability in </w:t>
      </w:r>
      <w:r>
        <w:rPr>
          <w:rFonts w:eastAsia="바탕" w:hint="eastAsia"/>
          <w:sz w:val="22"/>
        </w:rPr>
        <w:t>rel</w:t>
      </w:r>
      <w:r>
        <w:rPr>
          <w:rFonts w:eastAsia="바탕"/>
          <w:sz w:val="22"/>
        </w:rPr>
        <w:t xml:space="preserve">-15 when </w:t>
      </w:r>
      <w:r>
        <w:rPr>
          <w:rFonts w:eastAsia="바탕"/>
          <w:sz w:val="22"/>
          <w:szCs w:val="22"/>
          <w:lang w:eastAsia="ko-KR"/>
        </w:rPr>
        <w:t>the different numerologies in multiple BWPs for intra-band contiguous CA specified</w:t>
      </w:r>
      <w:r w:rsidRPr="00F15A51">
        <w:rPr>
          <w:rFonts w:eastAsia="바탕" w:hint="eastAsia"/>
          <w:sz w:val="22"/>
        </w:rPr>
        <w:t>.</w:t>
      </w:r>
    </w:p>
    <w:p w:rsidR="00DD0850" w:rsidRDefault="00DD0850" w:rsidP="00DD0850">
      <w:pPr>
        <w:adjustRightInd w:val="0"/>
        <w:spacing w:after="120"/>
        <w:rPr>
          <w:rFonts w:eastAsia="바탕"/>
          <w:sz w:val="22"/>
        </w:rPr>
      </w:pPr>
      <w:r w:rsidRPr="00957113">
        <w:rPr>
          <w:rFonts w:eastAsia="바탕" w:hint="eastAsia"/>
          <w:b/>
          <w:i/>
          <w:sz w:val="22"/>
        </w:rPr>
        <w:t>P</w:t>
      </w:r>
      <w:r w:rsidR="00472410">
        <w:rPr>
          <w:rFonts w:eastAsia="바탕" w:hint="eastAsia"/>
          <w:b/>
          <w:i/>
          <w:sz w:val="22"/>
        </w:rPr>
        <w:t>roposal 3</w:t>
      </w:r>
      <w:r w:rsidRPr="00957113">
        <w:rPr>
          <w:rFonts w:eastAsia="바탕" w:hint="eastAsia"/>
          <w:b/>
          <w:i/>
          <w:sz w:val="22"/>
        </w:rPr>
        <w:t>:</w:t>
      </w:r>
      <w:r>
        <w:rPr>
          <w:rFonts w:eastAsia="바탕" w:hint="eastAsia"/>
          <w:sz w:val="22"/>
        </w:rPr>
        <w:t xml:space="preserve"> Introduce additional UE capability to support </w:t>
      </w:r>
      <w:r>
        <w:rPr>
          <w:rFonts w:eastAsia="바탕"/>
          <w:sz w:val="22"/>
        </w:rPr>
        <w:t>wideband operation as below</w:t>
      </w:r>
    </w:p>
    <w:p w:rsidR="00472410" w:rsidRDefault="00472410" w:rsidP="00472410">
      <w:pPr>
        <w:numPr>
          <w:ilvl w:val="0"/>
          <w:numId w:val="8"/>
        </w:numPr>
        <w:jc w:val="both"/>
        <w:rPr>
          <w:rFonts w:eastAsia="바탕"/>
          <w:color w:val="000000"/>
          <w:kern w:val="2"/>
          <w:sz w:val="22"/>
          <w:lang w:val="en-US" w:eastAsia="ko-KR"/>
        </w:rPr>
      </w:pPr>
      <w:r>
        <w:rPr>
          <w:rFonts w:eastAsia="바탕" w:hint="eastAsia"/>
          <w:color w:val="000000"/>
          <w:kern w:val="2"/>
          <w:sz w:val="22"/>
          <w:lang w:val="en-US" w:eastAsia="ko-KR"/>
        </w:rPr>
        <w:t>Supporting flexible UE CBW according to allocated BWP</w:t>
      </w:r>
    </w:p>
    <w:p w:rsidR="000B6C3E" w:rsidRPr="00BF2598" w:rsidRDefault="00772613" w:rsidP="00BF2598">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 xml:space="preserve">Supporting overall SU based on wider channel bandwidth </w:t>
      </w:r>
      <w:r w:rsidR="0047710B">
        <w:rPr>
          <w:rFonts w:eastAsia="바탕"/>
          <w:color w:val="000000"/>
          <w:kern w:val="2"/>
          <w:sz w:val="22"/>
          <w:lang w:val="en-US" w:eastAsia="ko-KR"/>
        </w:rPr>
        <w:t>(from rel-16)</w:t>
      </w:r>
    </w:p>
    <w:p w:rsidR="000B6C3E" w:rsidRPr="00BF2598" w:rsidRDefault="00772613" w:rsidP="00BF2598">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 xml:space="preserve">Supporting the simultaneous </w:t>
      </w:r>
      <w:r w:rsidR="00472410">
        <w:rPr>
          <w:rFonts w:eastAsia="바탕"/>
          <w:color w:val="000000"/>
          <w:kern w:val="2"/>
          <w:sz w:val="22"/>
          <w:lang w:val="en-US" w:eastAsia="ko-KR"/>
        </w:rPr>
        <w:t>same/</w:t>
      </w:r>
      <w:r w:rsidR="00BF2598">
        <w:rPr>
          <w:rFonts w:eastAsia="바탕"/>
          <w:color w:val="000000"/>
          <w:kern w:val="2"/>
          <w:sz w:val="22"/>
          <w:lang w:val="en-US" w:eastAsia="ko-KR"/>
        </w:rPr>
        <w:t>different</w:t>
      </w:r>
      <w:r w:rsidRPr="00BF2598">
        <w:rPr>
          <w:rFonts w:eastAsia="바탕"/>
          <w:color w:val="000000"/>
          <w:kern w:val="2"/>
          <w:sz w:val="22"/>
          <w:lang w:val="en-US" w:eastAsia="ko-KR"/>
        </w:rPr>
        <w:t xml:space="preserve"> numerology</w:t>
      </w:r>
    </w:p>
    <w:p w:rsidR="000B6C3E" w:rsidRPr="00BF2598" w:rsidRDefault="00772613" w:rsidP="00BF2598">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[Min.] and Max. Channel BW (BWP granularity)</w:t>
      </w:r>
    </w:p>
    <w:p w:rsidR="000B6C3E" w:rsidRPr="00BF2598" w:rsidRDefault="00772613" w:rsidP="00BF2598">
      <w:pPr>
        <w:numPr>
          <w:ilvl w:val="0"/>
          <w:numId w:val="8"/>
        </w:numPr>
        <w:jc w:val="both"/>
        <w:rPr>
          <w:rFonts w:eastAsia="바탕"/>
          <w:color w:val="000000"/>
          <w:kern w:val="2"/>
          <w:sz w:val="22"/>
          <w:lang w:val="en-US" w:eastAsia="ko-KR"/>
        </w:rPr>
      </w:pPr>
      <w:r w:rsidRPr="00BF2598">
        <w:rPr>
          <w:rFonts w:eastAsia="바탕"/>
          <w:color w:val="000000"/>
          <w:kern w:val="2"/>
          <w:sz w:val="22"/>
          <w:lang w:val="en-US" w:eastAsia="ko-KR"/>
        </w:rPr>
        <w:t>Maximum number of supporting aggregated CCs</w:t>
      </w:r>
    </w:p>
    <w:p w:rsidR="000B6C3E" w:rsidRPr="00BF2598" w:rsidRDefault="00772613" w:rsidP="0047710B">
      <w:pPr>
        <w:numPr>
          <w:ilvl w:val="0"/>
          <w:numId w:val="8"/>
        </w:numPr>
        <w:spacing w:after="120"/>
        <w:ind w:left="806" w:hanging="403"/>
        <w:jc w:val="both"/>
        <w:rPr>
          <w:rFonts w:eastAsia="바탕"/>
          <w:color w:val="000000"/>
          <w:kern w:val="2"/>
          <w:sz w:val="22"/>
          <w:lang w:val="en-US" w:eastAsia="ko-KR"/>
        </w:rPr>
      </w:pPr>
      <w:r w:rsidRPr="00BF2598">
        <w:rPr>
          <w:rFonts w:eastAsia="바탕"/>
          <w:color w:val="000000"/>
          <w:kern w:val="2"/>
          <w:sz w:val="22"/>
          <w:lang w:val="en-US" w:eastAsia="ko-KR"/>
        </w:rPr>
        <w:t>Supported RF Bands and corresponding CA bandwidth classes for wideband operation</w:t>
      </w:r>
    </w:p>
    <w:p w:rsidR="0047710B" w:rsidRPr="0047710B" w:rsidRDefault="0047710B" w:rsidP="0047710B">
      <w:pPr>
        <w:adjustRightInd w:val="0"/>
        <w:spacing w:after="120"/>
        <w:jc w:val="both"/>
        <w:rPr>
          <w:rFonts w:eastAsia="바탕"/>
          <w:b/>
          <w:i/>
          <w:sz w:val="22"/>
        </w:rPr>
      </w:pPr>
      <w:r w:rsidRPr="0047710B">
        <w:rPr>
          <w:rFonts w:eastAsia="바탕" w:hint="eastAsia"/>
          <w:b/>
          <w:i/>
          <w:sz w:val="22"/>
        </w:rPr>
        <w:t xml:space="preserve">Proposal 4: </w:t>
      </w:r>
      <w:r w:rsidR="00E62DED">
        <w:rPr>
          <w:rFonts w:eastAsia="바탕"/>
          <w:sz w:val="22"/>
        </w:rPr>
        <w:t xml:space="preserve">Table 1 should </w:t>
      </w:r>
      <w:r w:rsidRPr="0047710B">
        <w:rPr>
          <w:rFonts w:eastAsia="바탕"/>
          <w:sz w:val="22"/>
        </w:rPr>
        <w:t>consider to s</w:t>
      </w:r>
      <w:r w:rsidR="00E62DED">
        <w:rPr>
          <w:rFonts w:eastAsia="바탕"/>
          <w:sz w:val="22"/>
        </w:rPr>
        <w:t xml:space="preserve">pecify intra-band contiguous CA UE </w:t>
      </w:r>
      <w:r w:rsidRPr="0047710B">
        <w:rPr>
          <w:rFonts w:eastAsia="바탕"/>
          <w:sz w:val="22"/>
        </w:rPr>
        <w:t>RF requirements.</w:t>
      </w:r>
    </w:p>
    <w:p w:rsidR="00BF2598" w:rsidRPr="0047710B" w:rsidRDefault="00BF2598" w:rsidP="0047710B">
      <w:pPr>
        <w:adjustRightInd w:val="0"/>
        <w:spacing w:after="120"/>
        <w:rPr>
          <w:rFonts w:eastAsia="바탕"/>
          <w:b/>
          <w:i/>
          <w:sz w:val="22"/>
        </w:rPr>
      </w:pPr>
    </w:p>
    <w:p w:rsidR="003F50F8" w:rsidRPr="00C55F11" w:rsidRDefault="003F50F8" w:rsidP="00C55F11">
      <w:pPr>
        <w:pStyle w:val="1"/>
        <w:keepNext w:val="0"/>
        <w:widowControl w:val="0"/>
        <w:autoSpaceDE w:val="0"/>
        <w:autoSpaceDN w:val="0"/>
        <w:adjustRightInd w:val="0"/>
        <w:ind w:right="0"/>
        <w:jc w:val="both"/>
        <w:rPr>
          <w:rFonts w:ascii="Times New Roman" w:hAnsi="Times New Roman"/>
          <w:bCs/>
          <w:sz w:val="28"/>
          <w:szCs w:val="28"/>
          <w:lang w:val="en-US" w:eastAsia="ko-KR"/>
        </w:rPr>
      </w:pPr>
      <w:r w:rsidRPr="00C55F11">
        <w:rPr>
          <w:rFonts w:ascii="Times New Roman" w:hAnsi="Times New Roman"/>
          <w:bCs/>
          <w:sz w:val="28"/>
          <w:szCs w:val="28"/>
          <w:lang w:val="en-US" w:eastAsia="ko-KR"/>
        </w:rPr>
        <w:t>Reference</w:t>
      </w:r>
    </w:p>
    <w:bookmarkEnd w:id="1"/>
    <w:bookmarkEnd w:id="2"/>
    <w:bookmarkEnd w:id="3"/>
    <w:p w:rsidR="0047710B" w:rsidRDefault="00C55F11" w:rsidP="00C55F11">
      <w:pPr>
        <w:widowControl w:val="0"/>
        <w:autoSpaceDE w:val="0"/>
        <w:autoSpaceDN w:val="0"/>
        <w:adjustRightInd w:val="0"/>
        <w:spacing w:after="120"/>
        <w:jc w:val="both"/>
        <w:rPr>
          <w:rFonts w:eastAsia="바탕"/>
          <w:sz w:val="22"/>
          <w:szCs w:val="22"/>
          <w:lang w:eastAsia="ko-KR"/>
        </w:rPr>
      </w:pPr>
      <w:r>
        <w:rPr>
          <w:rFonts w:eastAsia="바탕"/>
          <w:sz w:val="22"/>
          <w:szCs w:val="22"/>
          <w:lang w:eastAsia="ko-KR"/>
        </w:rPr>
        <w:t xml:space="preserve">[1] </w:t>
      </w:r>
      <w:r w:rsidR="0047710B">
        <w:rPr>
          <w:rFonts w:eastAsia="바탕"/>
          <w:sz w:val="22"/>
          <w:szCs w:val="22"/>
          <w:lang w:eastAsia="ko-KR"/>
        </w:rPr>
        <w:t>R4-1714474, “</w:t>
      </w:r>
      <w:r w:rsidR="0047710B" w:rsidRPr="0047710B">
        <w:rPr>
          <w:rFonts w:eastAsia="바탕"/>
          <w:sz w:val="22"/>
          <w:szCs w:val="22"/>
          <w:lang w:eastAsia="ko-KR"/>
        </w:rPr>
        <w:t>WF on some clarification issues for wideband operation</w:t>
      </w:r>
      <w:r w:rsidR="0047710B">
        <w:rPr>
          <w:rFonts w:eastAsia="바탕"/>
          <w:sz w:val="22"/>
          <w:szCs w:val="22"/>
          <w:lang w:eastAsia="ko-KR"/>
        </w:rPr>
        <w:t>”, LG Electronics, Intel</w:t>
      </w:r>
    </w:p>
    <w:p w:rsidR="00C55F11" w:rsidRDefault="0047710B" w:rsidP="00C55F11">
      <w:pPr>
        <w:widowControl w:val="0"/>
        <w:autoSpaceDE w:val="0"/>
        <w:autoSpaceDN w:val="0"/>
        <w:adjustRightInd w:val="0"/>
        <w:spacing w:after="120"/>
        <w:jc w:val="both"/>
        <w:rPr>
          <w:rFonts w:eastAsia="바탕"/>
          <w:sz w:val="22"/>
          <w:szCs w:val="22"/>
          <w:lang w:eastAsia="ko-KR"/>
        </w:rPr>
      </w:pPr>
      <w:r>
        <w:rPr>
          <w:rFonts w:eastAsia="바탕"/>
          <w:sz w:val="22"/>
          <w:szCs w:val="22"/>
          <w:lang w:eastAsia="ko-KR"/>
        </w:rPr>
        <w:t xml:space="preserve">[2] </w:t>
      </w:r>
      <w:r w:rsidR="009C3EB7" w:rsidRPr="00C55F11">
        <w:rPr>
          <w:rFonts w:eastAsia="바탕"/>
          <w:sz w:val="22"/>
          <w:szCs w:val="22"/>
          <w:lang w:eastAsia="ko-KR"/>
        </w:rPr>
        <w:t>R4-17</w:t>
      </w:r>
      <w:r w:rsidR="00957113">
        <w:rPr>
          <w:rFonts w:eastAsia="바탕" w:hint="eastAsia"/>
          <w:sz w:val="22"/>
          <w:szCs w:val="22"/>
          <w:lang w:eastAsia="ko-KR"/>
        </w:rPr>
        <w:t>11819</w:t>
      </w:r>
      <w:r w:rsidR="009C3EB7" w:rsidRPr="00C55F11">
        <w:rPr>
          <w:rFonts w:eastAsia="바탕"/>
          <w:sz w:val="22"/>
          <w:szCs w:val="22"/>
          <w:lang w:eastAsia="ko-KR"/>
        </w:rPr>
        <w:t>, “</w:t>
      </w:r>
      <w:r w:rsidR="00957113" w:rsidRPr="00957113">
        <w:rPr>
          <w:rFonts w:eastAsia="바탕"/>
          <w:sz w:val="22"/>
          <w:szCs w:val="22"/>
          <w:lang w:val="de-DE" w:eastAsia="ko-KR"/>
        </w:rPr>
        <w:t>WF on wideband operation</w:t>
      </w:r>
      <w:r w:rsidR="00B01D40" w:rsidRPr="00C55F11">
        <w:rPr>
          <w:rFonts w:eastAsia="바탕"/>
          <w:sz w:val="22"/>
          <w:szCs w:val="22"/>
          <w:lang w:eastAsia="ko-KR"/>
        </w:rPr>
        <w:t xml:space="preserve">,” </w:t>
      </w:r>
      <w:r w:rsidR="00957113">
        <w:rPr>
          <w:rFonts w:eastAsia="바탕" w:hint="eastAsia"/>
          <w:sz w:val="22"/>
          <w:szCs w:val="22"/>
          <w:lang w:eastAsia="ko-KR"/>
        </w:rPr>
        <w:t>Intel Corporation, LGE</w:t>
      </w:r>
    </w:p>
    <w:sectPr w:rsidR="00C55F11" w:rsidSect="00880A9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C79" w:rsidRDefault="00CC5C79">
      <w:r>
        <w:separator/>
      </w:r>
    </w:p>
  </w:endnote>
  <w:endnote w:type="continuationSeparator" w:id="0">
    <w:p w:rsidR="00CC5C79" w:rsidRDefault="00CC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C79" w:rsidRDefault="00CC5C79">
      <w:r>
        <w:separator/>
      </w:r>
    </w:p>
  </w:footnote>
  <w:footnote w:type="continuationSeparator" w:id="0">
    <w:p w:rsidR="00CC5C79" w:rsidRDefault="00CC5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0A54F9D"/>
    <w:multiLevelType w:val="hybridMultilevel"/>
    <w:tmpl w:val="5782A55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400C45"/>
    <w:multiLevelType w:val="hybridMultilevel"/>
    <w:tmpl w:val="E724CFAA"/>
    <w:lvl w:ilvl="0" w:tplc="CCDED868">
      <w:numFmt w:val="bullet"/>
      <w:lvlText w:val="•"/>
      <w:lvlJc w:val="left"/>
      <w:pPr>
        <w:ind w:left="1232" w:hanging="400"/>
      </w:pPr>
      <w:rPr>
        <w:rFonts w:ascii="Times New Roman" w:eastAsia="Times New Roman" w:hAnsi="Times New Roman" w:cs="Times New Roman"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4" w15:restartNumberingAfterBreak="0">
    <w:nsid w:val="1BB51362"/>
    <w:multiLevelType w:val="hybridMultilevel"/>
    <w:tmpl w:val="2E2CD50A"/>
    <w:lvl w:ilvl="0" w:tplc="13923972">
      <w:start w:val="1"/>
      <w:numFmt w:val="bullet"/>
      <w:lvlText w:val=""/>
      <w:lvlJc w:val="left"/>
      <w:pPr>
        <w:ind w:left="792" w:hanging="360"/>
      </w:pPr>
      <w:rPr>
        <w:rFonts w:ascii="Wingdings" w:eastAsia="바탕" w:hAnsi="Wingdings" w:cs="Times New Roman" w:hint="default"/>
        <w:b/>
        <w:i/>
        <w:color w:val="000000"/>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5" w15:restartNumberingAfterBreak="0">
    <w:nsid w:val="1BE54841"/>
    <w:multiLevelType w:val="hybridMultilevel"/>
    <w:tmpl w:val="346A52C2"/>
    <w:lvl w:ilvl="0" w:tplc="77A6BC60">
      <w:start w:val="1"/>
      <w:numFmt w:val="bullet"/>
      <w:lvlText w:val="-"/>
      <w:lvlJc w:val="left"/>
      <w:pPr>
        <w:ind w:left="1080" w:hanging="360"/>
      </w:pPr>
      <w:rPr>
        <w:rFonts w:ascii="Times New Roman" w:eastAsia="바탕" w:hAnsi="Times New Roman" w:cs="Times New Roman"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BD83B40"/>
    <w:multiLevelType w:val="hybridMultilevel"/>
    <w:tmpl w:val="7E3E727E"/>
    <w:lvl w:ilvl="0" w:tplc="B2085B2E">
      <w:start w:val="1"/>
      <w:numFmt w:val="bullet"/>
      <w:lvlText w:val=""/>
      <w:lvlJc w:val="left"/>
      <w:pPr>
        <w:tabs>
          <w:tab w:val="num" w:pos="720"/>
        </w:tabs>
        <w:ind w:left="720" w:hanging="360"/>
      </w:pPr>
      <w:rPr>
        <w:rFonts w:ascii="Wingdings" w:hAnsi="Wingdings" w:hint="default"/>
      </w:rPr>
    </w:lvl>
    <w:lvl w:ilvl="1" w:tplc="73028AC4">
      <w:start w:val="1"/>
      <w:numFmt w:val="bullet"/>
      <w:lvlText w:val=""/>
      <w:lvlJc w:val="left"/>
      <w:pPr>
        <w:tabs>
          <w:tab w:val="num" w:pos="1440"/>
        </w:tabs>
        <w:ind w:left="1440" w:hanging="360"/>
      </w:pPr>
      <w:rPr>
        <w:rFonts w:ascii="Wingdings" w:hAnsi="Wingdings" w:hint="default"/>
      </w:rPr>
    </w:lvl>
    <w:lvl w:ilvl="2" w:tplc="080053C2">
      <w:numFmt w:val="bullet"/>
      <w:lvlText w:val=""/>
      <w:lvlJc w:val="left"/>
      <w:pPr>
        <w:tabs>
          <w:tab w:val="num" w:pos="2160"/>
        </w:tabs>
        <w:ind w:left="2160" w:hanging="360"/>
      </w:pPr>
      <w:rPr>
        <w:rFonts w:ascii="Wingdings" w:hAnsi="Wingdings" w:hint="default"/>
      </w:rPr>
    </w:lvl>
    <w:lvl w:ilvl="3" w:tplc="C3F8B9E0" w:tentative="1">
      <w:start w:val="1"/>
      <w:numFmt w:val="bullet"/>
      <w:lvlText w:val=""/>
      <w:lvlJc w:val="left"/>
      <w:pPr>
        <w:tabs>
          <w:tab w:val="num" w:pos="2880"/>
        </w:tabs>
        <w:ind w:left="2880" w:hanging="360"/>
      </w:pPr>
      <w:rPr>
        <w:rFonts w:ascii="Wingdings" w:hAnsi="Wingdings" w:hint="default"/>
      </w:rPr>
    </w:lvl>
    <w:lvl w:ilvl="4" w:tplc="808E3A86" w:tentative="1">
      <w:start w:val="1"/>
      <w:numFmt w:val="bullet"/>
      <w:lvlText w:val=""/>
      <w:lvlJc w:val="left"/>
      <w:pPr>
        <w:tabs>
          <w:tab w:val="num" w:pos="3600"/>
        </w:tabs>
        <w:ind w:left="3600" w:hanging="360"/>
      </w:pPr>
      <w:rPr>
        <w:rFonts w:ascii="Wingdings" w:hAnsi="Wingdings" w:hint="default"/>
      </w:rPr>
    </w:lvl>
    <w:lvl w:ilvl="5" w:tplc="8850E2BC" w:tentative="1">
      <w:start w:val="1"/>
      <w:numFmt w:val="bullet"/>
      <w:lvlText w:val=""/>
      <w:lvlJc w:val="left"/>
      <w:pPr>
        <w:tabs>
          <w:tab w:val="num" w:pos="4320"/>
        </w:tabs>
        <w:ind w:left="4320" w:hanging="360"/>
      </w:pPr>
      <w:rPr>
        <w:rFonts w:ascii="Wingdings" w:hAnsi="Wingdings" w:hint="default"/>
      </w:rPr>
    </w:lvl>
    <w:lvl w:ilvl="6" w:tplc="EFFE8FDA" w:tentative="1">
      <w:start w:val="1"/>
      <w:numFmt w:val="bullet"/>
      <w:lvlText w:val=""/>
      <w:lvlJc w:val="left"/>
      <w:pPr>
        <w:tabs>
          <w:tab w:val="num" w:pos="5040"/>
        </w:tabs>
        <w:ind w:left="5040" w:hanging="360"/>
      </w:pPr>
      <w:rPr>
        <w:rFonts w:ascii="Wingdings" w:hAnsi="Wingdings" w:hint="default"/>
      </w:rPr>
    </w:lvl>
    <w:lvl w:ilvl="7" w:tplc="03F41CD0" w:tentative="1">
      <w:start w:val="1"/>
      <w:numFmt w:val="bullet"/>
      <w:lvlText w:val=""/>
      <w:lvlJc w:val="left"/>
      <w:pPr>
        <w:tabs>
          <w:tab w:val="num" w:pos="5760"/>
        </w:tabs>
        <w:ind w:left="5760" w:hanging="360"/>
      </w:pPr>
      <w:rPr>
        <w:rFonts w:ascii="Wingdings" w:hAnsi="Wingdings" w:hint="default"/>
      </w:rPr>
    </w:lvl>
    <w:lvl w:ilvl="8" w:tplc="9710EF0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B2200"/>
    <w:multiLevelType w:val="hybridMultilevel"/>
    <w:tmpl w:val="25FC913E"/>
    <w:lvl w:ilvl="0" w:tplc="10DAFB52">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맑은 고딕"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375F2E"/>
    <w:multiLevelType w:val="hybridMultilevel"/>
    <w:tmpl w:val="C0A61C40"/>
    <w:lvl w:ilvl="0" w:tplc="4202C932">
      <w:start w:val="1"/>
      <w:numFmt w:val="bullet"/>
      <w:lvlText w:val=""/>
      <w:lvlJc w:val="left"/>
      <w:pPr>
        <w:tabs>
          <w:tab w:val="num" w:pos="720"/>
        </w:tabs>
        <w:ind w:left="720" w:hanging="360"/>
      </w:pPr>
      <w:rPr>
        <w:rFonts w:ascii="Symbol" w:eastAsia="MS Mincho" w:hAnsi="Symbol" w:cs="Times New Roman"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E119B"/>
    <w:multiLevelType w:val="hybridMultilevel"/>
    <w:tmpl w:val="3F74BE1E"/>
    <w:lvl w:ilvl="0" w:tplc="03EE1A44">
      <w:start w:val="1"/>
      <w:numFmt w:val="bullet"/>
      <w:lvlText w:val="•"/>
      <w:lvlJc w:val="left"/>
      <w:pPr>
        <w:tabs>
          <w:tab w:val="num" w:pos="720"/>
        </w:tabs>
        <w:ind w:left="720" w:hanging="360"/>
      </w:pPr>
      <w:rPr>
        <w:rFonts w:ascii="Arial" w:hAnsi="Arial" w:hint="default"/>
      </w:rPr>
    </w:lvl>
    <w:lvl w:ilvl="1" w:tplc="EF1ED3EC">
      <w:numFmt w:val="bullet"/>
      <w:lvlText w:val="•"/>
      <w:lvlJc w:val="left"/>
      <w:pPr>
        <w:tabs>
          <w:tab w:val="num" w:pos="1440"/>
        </w:tabs>
        <w:ind w:left="1440" w:hanging="360"/>
      </w:pPr>
      <w:rPr>
        <w:rFonts w:ascii="Arial" w:hAnsi="Arial" w:hint="default"/>
      </w:rPr>
    </w:lvl>
    <w:lvl w:ilvl="2" w:tplc="81F61B28">
      <w:numFmt w:val="bullet"/>
      <w:lvlText w:val="•"/>
      <w:lvlJc w:val="left"/>
      <w:pPr>
        <w:tabs>
          <w:tab w:val="num" w:pos="2160"/>
        </w:tabs>
        <w:ind w:left="2160" w:hanging="360"/>
      </w:pPr>
      <w:rPr>
        <w:rFonts w:ascii="Arial" w:hAnsi="Arial" w:hint="default"/>
      </w:rPr>
    </w:lvl>
    <w:lvl w:ilvl="3" w:tplc="38A8F156" w:tentative="1">
      <w:start w:val="1"/>
      <w:numFmt w:val="bullet"/>
      <w:lvlText w:val="•"/>
      <w:lvlJc w:val="left"/>
      <w:pPr>
        <w:tabs>
          <w:tab w:val="num" w:pos="2880"/>
        </w:tabs>
        <w:ind w:left="2880" w:hanging="360"/>
      </w:pPr>
      <w:rPr>
        <w:rFonts w:ascii="Arial" w:hAnsi="Arial" w:hint="default"/>
      </w:rPr>
    </w:lvl>
    <w:lvl w:ilvl="4" w:tplc="0B18E236" w:tentative="1">
      <w:start w:val="1"/>
      <w:numFmt w:val="bullet"/>
      <w:lvlText w:val="•"/>
      <w:lvlJc w:val="left"/>
      <w:pPr>
        <w:tabs>
          <w:tab w:val="num" w:pos="3600"/>
        </w:tabs>
        <w:ind w:left="3600" w:hanging="360"/>
      </w:pPr>
      <w:rPr>
        <w:rFonts w:ascii="Arial" w:hAnsi="Arial" w:hint="default"/>
      </w:rPr>
    </w:lvl>
    <w:lvl w:ilvl="5" w:tplc="EB92D9CA" w:tentative="1">
      <w:start w:val="1"/>
      <w:numFmt w:val="bullet"/>
      <w:lvlText w:val="•"/>
      <w:lvlJc w:val="left"/>
      <w:pPr>
        <w:tabs>
          <w:tab w:val="num" w:pos="4320"/>
        </w:tabs>
        <w:ind w:left="4320" w:hanging="360"/>
      </w:pPr>
      <w:rPr>
        <w:rFonts w:ascii="Arial" w:hAnsi="Arial" w:hint="default"/>
      </w:rPr>
    </w:lvl>
    <w:lvl w:ilvl="6" w:tplc="9384B472" w:tentative="1">
      <w:start w:val="1"/>
      <w:numFmt w:val="bullet"/>
      <w:lvlText w:val="•"/>
      <w:lvlJc w:val="left"/>
      <w:pPr>
        <w:tabs>
          <w:tab w:val="num" w:pos="5040"/>
        </w:tabs>
        <w:ind w:left="5040" w:hanging="360"/>
      </w:pPr>
      <w:rPr>
        <w:rFonts w:ascii="Arial" w:hAnsi="Arial" w:hint="default"/>
      </w:rPr>
    </w:lvl>
    <w:lvl w:ilvl="7" w:tplc="12467CF6" w:tentative="1">
      <w:start w:val="1"/>
      <w:numFmt w:val="bullet"/>
      <w:lvlText w:val="•"/>
      <w:lvlJc w:val="left"/>
      <w:pPr>
        <w:tabs>
          <w:tab w:val="num" w:pos="5760"/>
        </w:tabs>
        <w:ind w:left="5760" w:hanging="360"/>
      </w:pPr>
      <w:rPr>
        <w:rFonts w:ascii="Arial" w:hAnsi="Arial" w:hint="default"/>
      </w:rPr>
    </w:lvl>
    <w:lvl w:ilvl="8" w:tplc="46246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A785301"/>
    <w:multiLevelType w:val="hybridMultilevel"/>
    <w:tmpl w:val="15D28DF8"/>
    <w:lvl w:ilvl="0" w:tplc="B6F207FA">
      <w:start w:val="6"/>
      <w:numFmt w:val="bullet"/>
      <w:lvlText w:val="-"/>
      <w:lvlJc w:val="left"/>
      <w:pPr>
        <w:ind w:left="1232" w:hanging="400"/>
      </w:pPr>
      <w:rPr>
        <w:rFonts w:ascii="Times New Roman" w:eastAsia="맑은 고딕" w:hAnsi="Times New Roman" w:cs="Times New Roman" w:hint="default"/>
      </w:rPr>
    </w:lvl>
    <w:lvl w:ilvl="1" w:tplc="04090003" w:tentative="1">
      <w:start w:val="1"/>
      <w:numFmt w:val="bullet"/>
      <w:lvlText w:val=""/>
      <w:lvlJc w:val="left"/>
      <w:pPr>
        <w:ind w:left="1632" w:hanging="400"/>
      </w:pPr>
      <w:rPr>
        <w:rFonts w:ascii="Wingdings" w:hAnsi="Wingdings" w:hint="default"/>
      </w:rPr>
    </w:lvl>
    <w:lvl w:ilvl="2" w:tplc="04090005" w:tentative="1">
      <w:start w:val="1"/>
      <w:numFmt w:val="bullet"/>
      <w:lvlText w:val=""/>
      <w:lvlJc w:val="left"/>
      <w:pPr>
        <w:ind w:left="2032" w:hanging="400"/>
      </w:pPr>
      <w:rPr>
        <w:rFonts w:ascii="Wingdings" w:hAnsi="Wingdings" w:hint="default"/>
      </w:rPr>
    </w:lvl>
    <w:lvl w:ilvl="3" w:tplc="04090001" w:tentative="1">
      <w:start w:val="1"/>
      <w:numFmt w:val="bullet"/>
      <w:lvlText w:val=""/>
      <w:lvlJc w:val="left"/>
      <w:pPr>
        <w:ind w:left="2432" w:hanging="400"/>
      </w:pPr>
      <w:rPr>
        <w:rFonts w:ascii="Wingdings" w:hAnsi="Wingdings" w:hint="default"/>
      </w:rPr>
    </w:lvl>
    <w:lvl w:ilvl="4" w:tplc="04090003" w:tentative="1">
      <w:start w:val="1"/>
      <w:numFmt w:val="bullet"/>
      <w:lvlText w:val=""/>
      <w:lvlJc w:val="left"/>
      <w:pPr>
        <w:ind w:left="2832" w:hanging="400"/>
      </w:pPr>
      <w:rPr>
        <w:rFonts w:ascii="Wingdings" w:hAnsi="Wingdings" w:hint="default"/>
      </w:rPr>
    </w:lvl>
    <w:lvl w:ilvl="5" w:tplc="04090005" w:tentative="1">
      <w:start w:val="1"/>
      <w:numFmt w:val="bullet"/>
      <w:lvlText w:val=""/>
      <w:lvlJc w:val="left"/>
      <w:pPr>
        <w:ind w:left="3232" w:hanging="400"/>
      </w:pPr>
      <w:rPr>
        <w:rFonts w:ascii="Wingdings" w:hAnsi="Wingdings" w:hint="default"/>
      </w:rPr>
    </w:lvl>
    <w:lvl w:ilvl="6" w:tplc="04090001" w:tentative="1">
      <w:start w:val="1"/>
      <w:numFmt w:val="bullet"/>
      <w:lvlText w:val=""/>
      <w:lvlJc w:val="left"/>
      <w:pPr>
        <w:ind w:left="3632" w:hanging="400"/>
      </w:pPr>
      <w:rPr>
        <w:rFonts w:ascii="Wingdings" w:hAnsi="Wingdings" w:hint="default"/>
      </w:rPr>
    </w:lvl>
    <w:lvl w:ilvl="7" w:tplc="04090003" w:tentative="1">
      <w:start w:val="1"/>
      <w:numFmt w:val="bullet"/>
      <w:lvlText w:val=""/>
      <w:lvlJc w:val="left"/>
      <w:pPr>
        <w:ind w:left="4032" w:hanging="400"/>
      </w:pPr>
      <w:rPr>
        <w:rFonts w:ascii="Wingdings" w:hAnsi="Wingdings" w:hint="default"/>
      </w:rPr>
    </w:lvl>
    <w:lvl w:ilvl="8" w:tplc="04090005" w:tentative="1">
      <w:start w:val="1"/>
      <w:numFmt w:val="bullet"/>
      <w:lvlText w:val=""/>
      <w:lvlJc w:val="left"/>
      <w:pPr>
        <w:ind w:left="4432" w:hanging="400"/>
      </w:pPr>
      <w:rPr>
        <w:rFonts w:ascii="Wingdings" w:hAnsi="Wingdings" w:hint="default"/>
      </w:rPr>
    </w:lvl>
  </w:abstractNum>
  <w:abstractNum w:abstractNumId="17" w15:restartNumberingAfterBreak="0">
    <w:nsid w:val="73D33385"/>
    <w:multiLevelType w:val="hybridMultilevel"/>
    <w:tmpl w:val="25FC913E"/>
    <w:lvl w:ilvl="0" w:tplc="10DAFB52">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18" w15:restartNumberingAfterBreak="0">
    <w:nsid w:val="76EC0B80"/>
    <w:multiLevelType w:val="hybridMultilevel"/>
    <w:tmpl w:val="4D704D9A"/>
    <w:lvl w:ilvl="0" w:tplc="4202C932">
      <w:start w:val="1"/>
      <w:numFmt w:val="bullet"/>
      <w:lvlText w:val=""/>
      <w:lvlJc w:val="left"/>
      <w:pPr>
        <w:tabs>
          <w:tab w:val="num" w:pos="720"/>
        </w:tabs>
        <w:ind w:left="720" w:hanging="360"/>
      </w:pPr>
      <w:rPr>
        <w:rFonts w:ascii="Symbol" w:eastAsia="MS Mincho" w:hAnsi="Symbol" w:cs="Times New Roman" w:hint="default"/>
      </w:rPr>
    </w:lvl>
    <w:lvl w:ilvl="1" w:tplc="80606486">
      <w:start w:val="1"/>
      <w:numFmt w:val="bullet"/>
      <w:lvlText w:val="o"/>
      <w:lvlJc w:val="left"/>
      <w:pPr>
        <w:tabs>
          <w:tab w:val="num" w:pos="1440"/>
        </w:tabs>
        <w:ind w:left="1440" w:hanging="360"/>
      </w:pPr>
      <w:rPr>
        <w:rFonts w:ascii="Courier New" w:hAnsi="Courier New" w:cs="Courier New"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45663B"/>
    <w:multiLevelType w:val="hybridMultilevel"/>
    <w:tmpl w:val="64C8D664"/>
    <w:lvl w:ilvl="0" w:tplc="04090009">
      <w:start w:val="1"/>
      <w:numFmt w:val="bullet"/>
      <w:lvlText w:val=""/>
      <w:lvlJc w:val="left"/>
      <w:pPr>
        <w:ind w:left="800" w:hanging="400"/>
      </w:pPr>
      <w:rPr>
        <w:rFonts w:ascii="Wingdings" w:hAnsi="Wingdings" w:hint="default"/>
      </w:rPr>
    </w:lvl>
    <w:lvl w:ilvl="1" w:tplc="A782A10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17C66"/>
    <w:multiLevelType w:val="hybridMultilevel"/>
    <w:tmpl w:val="7276945C"/>
    <w:lvl w:ilvl="0" w:tplc="C89817FA">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20"/>
  </w:num>
  <w:num w:numId="3">
    <w:abstractNumId w:val="9"/>
  </w:num>
  <w:num w:numId="4">
    <w:abstractNumId w:val="15"/>
  </w:num>
  <w:num w:numId="5">
    <w:abstractNumId w:val="8"/>
  </w:num>
  <w:num w:numId="6">
    <w:abstractNumId w:val="1"/>
  </w:num>
  <w:num w:numId="7">
    <w:abstractNumId w:val="19"/>
  </w:num>
  <w:num w:numId="8">
    <w:abstractNumId w:val="21"/>
  </w:num>
  <w:num w:numId="9">
    <w:abstractNumId w:val="5"/>
  </w:num>
  <w:num w:numId="10">
    <w:abstractNumId w:val="4"/>
  </w:num>
  <w:num w:numId="11">
    <w:abstractNumId w:val="17"/>
  </w:num>
  <w:num w:numId="12">
    <w:abstractNumId w:val="13"/>
  </w:num>
  <w:num w:numId="13">
    <w:abstractNumId w:val="18"/>
  </w:num>
  <w:num w:numId="14">
    <w:abstractNumId w:val="0"/>
  </w:num>
  <w:num w:numId="15">
    <w:abstractNumId w:val="10"/>
  </w:num>
  <w:num w:numId="16">
    <w:abstractNumId w:val="2"/>
  </w:num>
  <w:num w:numId="17">
    <w:abstractNumId w:val="12"/>
  </w:num>
  <w:num w:numId="18">
    <w:abstractNumId w:val="3"/>
  </w:num>
  <w:num w:numId="19">
    <w:abstractNumId w:val="16"/>
  </w:num>
  <w:num w:numId="20">
    <w:abstractNumId w:val="7"/>
  </w:num>
  <w:num w:numId="21">
    <w:abstractNumId w:val="6"/>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202"/>
    <w:rsid w:val="0000133C"/>
    <w:rsid w:val="00001F9D"/>
    <w:rsid w:val="000051AC"/>
    <w:rsid w:val="000052CE"/>
    <w:rsid w:val="00005929"/>
    <w:rsid w:val="00006544"/>
    <w:rsid w:val="00011776"/>
    <w:rsid w:val="0001182F"/>
    <w:rsid w:val="00011B6C"/>
    <w:rsid w:val="00012A70"/>
    <w:rsid w:val="00015C67"/>
    <w:rsid w:val="000163E5"/>
    <w:rsid w:val="00016438"/>
    <w:rsid w:val="000168FD"/>
    <w:rsid w:val="00016F60"/>
    <w:rsid w:val="00017FA3"/>
    <w:rsid w:val="0002083D"/>
    <w:rsid w:val="00020C48"/>
    <w:rsid w:val="00022F51"/>
    <w:rsid w:val="000237F0"/>
    <w:rsid w:val="0002422D"/>
    <w:rsid w:val="000245B1"/>
    <w:rsid w:val="00024D99"/>
    <w:rsid w:val="000262E1"/>
    <w:rsid w:val="000267C4"/>
    <w:rsid w:val="00026BDC"/>
    <w:rsid w:val="000272E1"/>
    <w:rsid w:val="0003022D"/>
    <w:rsid w:val="000316D2"/>
    <w:rsid w:val="0003395E"/>
    <w:rsid w:val="000347BA"/>
    <w:rsid w:val="00035742"/>
    <w:rsid w:val="00035FFD"/>
    <w:rsid w:val="00037BA8"/>
    <w:rsid w:val="00040120"/>
    <w:rsid w:val="000417AC"/>
    <w:rsid w:val="0004273A"/>
    <w:rsid w:val="00042CB1"/>
    <w:rsid w:val="000444ED"/>
    <w:rsid w:val="00044D9B"/>
    <w:rsid w:val="000459BB"/>
    <w:rsid w:val="00045B94"/>
    <w:rsid w:val="00045FD9"/>
    <w:rsid w:val="00050264"/>
    <w:rsid w:val="00051F83"/>
    <w:rsid w:val="00052D7D"/>
    <w:rsid w:val="00053CA7"/>
    <w:rsid w:val="00053E45"/>
    <w:rsid w:val="00056D90"/>
    <w:rsid w:val="00057271"/>
    <w:rsid w:val="0006072E"/>
    <w:rsid w:val="0006081C"/>
    <w:rsid w:val="00061143"/>
    <w:rsid w:val="00061FD3"/>
    <w:rsid w:val="00064EA0"/>
    <w:rsid w:val="00065751"/>
    <w:rsid w:val="00066257"/>
    <w:rsid w:val="00067B1B"/>
    <w:rsid w:val="00071239"/>
    <w:rsid w:val="0007124F"/>
    <w:rsid w:val="000721F5"/>
    <w:rsid w:val="000739AB"/>
    <w:rsid w:val="0007504C"/>
    <w:rsid w:val="000759A1"/>
    <w:rsid w:val="00075D52"/>
    <w:rsid w:val="00081269"/>
    <w:rsid w:val="00081A2F"/>
    <w:rsid w:val="000838A6"/>
    <w:rsid w:val="000845F6"/>
    <w:rsid w:val="00084BD1"/>
    <w:rsid w:val="000876CF"/>
    <w:rsid w:val="00093B09"/>
    <w:rsid w:val="0009531F"/>
    <w:rsid w:val="000959AF"/>
    <w:rsid w:val="000966A3"/>
    <w:rsid w:val="00096C13"/>
    <w:rsid w:val="000A1B05"/>
    <w:rsid w:val="000A5706"/>
    <w:rsid w:val="000A5AF6"/>
    <w:rsid w:val="000A7540"/>
    <w:rsid w:val="000A79DA"/>
    <w:rsid w:val="000B024B"/>
    <w:rsid w:val="000B10EE"/>
    <w:rsid w:val="000B2656"/>
    <w:rsid w:val="000B2D68"/>
    <w:rsid w:val="000B361B"/>
    <w:rsid w:val="000B3E85"/>
    <w:rsid w:val="000B46A7"/>
    <w:rsid w:val="000B4F54"/>
    <w:rsid w:val="000B5668"/>
    <w:rsid w:val="000B5801"/>
    <w:rsid w:val="000B5AC8"/>
    <w:rsid w:val="000B63CC"/>
    <w:rsid w:val="000B6C3E"/>
    <w:rsid w:val="000B6DEA"/>
    <w:rsid w:val="000C1F50"/>
    <w:rsid w:val="000C307E"/>
    <w:rsid w:val="000C3A65"/>
    <w:rsid w:val="000C420A"/>
    <w:rsid w:val="000C64BD"/>
    <w:rsid w:val="000C6BDE"/>
    <w:rsid w:val="000D2BC1"/>
    <w:rsid w:val="000D2F40"/>
    <w:rsid w:val="000D3F8C"/>
    <w:rsid w:val="000D4D7C"/>
    <w:rsid w:val="000D5993"/>
    <w:rsid w:val="000D709C"/>
    <w:rsid w:val="000D713B"/>
    <w:rsid w:val="000E226B"/>
    <w:rsid w:val="000E23D8"/>
    <w:rsid w:val="000E29D0"/>
    <w:rsid w:val="000E4E4B"/>
    <w:rsid w:val="000E5D87"/>
    <w:rsid w:val="000E650E"/>
    <w:rsid w:val="000E79DE"/>
    <w:rsid w:val="000F06FC"/>
    <w:rsid w:val="000F0F95"/>
    <w:rsid w:val="000F4FE9"/>
    <w:rsid w:val="000F529A"/>
    <w:rsid w:val="000F5386"/>
    <w:rsid w:val="000F68D0"/>
    <w:rsid w:val="000F72FE"/>
    <w:rsid w:val="000F7F74"/>
    <w:rsid w:val="00100EB1"/>
    <w:rsid w:val="0010279D"/>
    <w:rsid w:val="00103251"/>
    <w:rsid w:val="00103C4A"/>
    <w:rsid w:val="00103CE8"/>
    <w:rsid w:val="00103CFB"/>
    <w:rsid w:val="00104303"/>
    <w:rsid w:val="00105F52"/>
    <w:rsid w:val="00107622"/>
    <w:rsid w:val="00110799"/>
    <w:rsid w:val="00110BBB"/>
    <w:rsid w:val="0011311D"/>
    <w:rsid w:val="00113182"/>
    <w:rsid w:val="0011403C"/>
    <w:rsid w:val="001151BF"/>
    <w:rsid w:val="00117174"/>
    <w:rsid w:val="001174BC"/>
    <w:rsid w:val="00121324"/>
    <w:rsid w:val="001214C1"/>
    <w:rsid w:val="00124228"/>
    <w:rsid w:val="00125B57"/>
    <w:rsid w:val="001260A0"/>
    <w:rsid w:val="0013002E"/>
    <w:rsid w:val="00130E73"/>
    <w:rsid w:val="00132C3C"/>
    <w:rsid w:val="00133B5A"/>
    <w:rsid w:val="00134487"/>
    <w:rsid w:val="001357BA"/>
    <w:rsid w:val="00135836"/>
    <w:rsid w:val="001362EA"/>
    <w:rsid w:val="00136828"/>
    <w:rsid w:val="00137C10"/>
    <w:rsid w:val="00140A52"/>
    <w:rsid w:val="00140FC4"/>
    <w:rsid w:val="0014195B"/>
    <w:rsid w:val="00143705"/>
    <w:rsid w:val="001448FA"/>
    <w:rsid w:val="00147F9F"/>
    <w:rsid w:val="001523A2"/>
    <w:rsid w:val="00152563"/>
    <w:rsid w:val="00153125"/>
    <w:rsid w:val="001532D4"/>
    <w:rsid w:val="001578CC"/>
    <w:rsid w:val="00157E30"/>
    <w:rsid w:val="00163259"/>
    <w:rsid w:val="0016343E"/>
    <w:rsid w:val="001638B9"/>
    <w:rsid w:val="00164099"/>
    <w:rsid w:val="00165265"/>
    <w:rsid w:val="001720B5"/>
    <w:rsid w:val="00174101"/>
    <w:rsid w:val="00174EDF"/>
    <w:rsid w:val="001752CB"/>
    <w:rsid w:val="00175EC4"/>
    <w:rsid w:val="00175FC5"/>
    <w:rsid w:val="00180798"/>
    <w:rsid w:val="0018132D"/>
    <w:rsid w:val="0018174A"/>
    <w:rsid w:val="001833AA"/>
    <w:rsid w:val="001843C9"/>
    <w:rsid w:val="0018489D"/>
    <w:rsid w:val="00185446"/>
    <w:rsid w:val="00186472"/>
    <w:rsid w:val="001909A3"/>
    <w:rsid w:val="00192506"/>
    <w:rsid w:val="001935E7"/>
    <w:rsid w:val="001940AC"/>
    <w:rsid w:val="001942ED"/>
    <w:rsid w:val="00194F8E"/>
    <w:rsid w:val="001958F1"/>
    <w:rsid w:val="001960DF"/>
    <w:rsid w:val="00196E2B"/>
    <w:rsid w:val="001A301A"/>
    <w:rsid w:val="001A357D"/>
    <w:rsid w:val="001A3740"/>
    <w:rsid w:val="001A3AC1"/>
    <w:rsid w:val="001A4EF6"/>
    <w:rsid w:val="001A5586"/>
    <w:rsid w:val="001B0CEB"/>
    <w:rsid w:val="001B0FAA"/>
    <w:rsid w:val="001B1423"/>
    <w:rsid w:val="001B1BD3"/>
    <w:rsid w:val="001B42BE"/>
    <w:rsid w:val="001B6151"/>
    <w:rsid w:val="001B6279"/>
    <w:rsid w:val="001B74A2"/>
    <w:rsid w:val="001B76A7"/>
    <w:rsid w:val="001B7AAA"/>
    <w:rsid w:val="001C03E1"/>
    <w:rsid w:val="001C040B"/>
    <w:rsid w:val="001C1D88"/>
    <w:rsid w:val="001C4394"/>
    <w:rsid w:val="001C74A9"/>
    <w:rsid w:val="001D0154"/>
    <w:rsid w:val="001D1BA7"/>
    <w:rsid w:val="001D254D"/>
    <w:rsid w:val="001D29F5"/>
    <w:rsid w:val="001D433C"/>
    <w:rsid w:val="001D4697"/>
    <w:rsid w:val="001D6B94"/>
    <w:rsid w:val="001D7505"/>
    <w:rsid w:val="001D7554"/>
    <w:rsid w:val="001E10D6"/>
    <w:rsid w:val="001E17CA"/>
    <w:rsid w:val="001E189E"/>
    <w:rsid w:val="001E2577"/>
    <w:rsid w:val="001E4D6E"/>
    <w:rsid w:val="001E59F7"/>
    <w:rsid w:val="001E6C39"/>
    <w:rsid w:val="001E7A9E"/>
    <w:rsid w:val="001F23B3"/>
    <w:rsid w:val="001F2737"/>
    <w:rsid w:val="001F38E1"/>
    <w:rsid w:val="00200C40"/>
    <w:rsid w:val="00200CF3"/>
    <w:rsid w:val="00202E01"/>
    <w:rsid w:val="0020320A"/>
    <w:rsid w:val="002042CB"/>
    <w:rsid w:val="00205AE1"/>
    <w:rsid w:val="00205FFF"/>
    <w:rsid w:val="002108D5"/>
    <w:rsid w:val="0021189D"/>
    <w:rsid w:val="002141DC"/>
    <w:rsid w:val="00214EF3"/>
    <w:rsid w:val="00215F9C"/>
    <w:rsid w:val="00217F3B"/>
    <w:rsid w:val="00220112"/>
    <w:rsid w:val="0022040E"/>
    <w:rsid w:val="0022115A"/>
    <w:rsid w:val="00224190"/>
    <w:rsid w:val="00225541"/>
    <w:rsid w:val="002267FA"/>
    <w:rsid w:val="00226BFC"/>
    <w:rsid w:val="00227273"/>
    <w:rsid w:val="00230761"/>
    <w:rsid w:val="002308FA"/>
    <w:rsid w:val="0023308F"/>
    <w:rsid w:val="00233E8F"/>
    <w:rsid w:val="002342E0"/>
    <w:rsid w:val="00234576"/>
    <w:rsid w:val="00235375"/>
    <w:rsid w:val="00236292"/>
    <w:rsid w:val="002364CB"/>
    <w:rsid w:val="002365CF"/>
    <w:rsid w:val="00237340"/>
    <w:rsid w:val="002374EE"/>
    <w:rsid w:val="002401C1"/>
    <w:rsid w:val="0024241B"/>
    <w:rsid w:val="00242BBA"/>
    <w:rsid w:val="00242D61"/>
    <w:rsid w:val="00244401"/>
    <w:rsid w:val="002448E3"/>
    <w:rsid w:val="00245B7D"/>
    <w:rsid w:val="00246998"/>
    <w:rsid w:val="00246BE5"/>
    <w:rsid w:val="00247B93"/>
    <w:rsid w:val="00247DBD"/>
    <w:rsid w:val="00250222"/>
    <w:rsid w:val="00251539"/>
    <w:rsid w:val="00253582"/>
    <w:rsid w:val="002536A3"/>
    <w:rsid w:val="002539F7"/>
    <w:rsid w:val="00254C3E"/>
    <w:rsid w:val="00257065"/>
    <w:rsid w:val="0025759D"/>
    <w:rsid w:val="002577B4"/>
    <w:rsid w:val="00257F3B"/>
    <w:rsid w:val="00257F4A"/>
    <w:rsid w:val="00262677"/>
    <w:rsid w:val="00270C16"/>
    <w:rsid w:val="00270E59"/>
    <w:rsid w:val="002713D0"/>
    <w:rsid w:val="00271654"/>
    <w:rsid w:val="0027221F"/>
    <w:rsid w:val="00272990"/>
    <w:rsid w:val="0027299F"/>
    <w:rsid w:val="00275178"/>
    <w:rsid w:val="002761C6"/>
    <w:rsid w:val="002761FD"/>
    <w:rsid w:val="00280F86"/>
    <w:rsid w:val="00281DE1"/>
    <w:rsid w:val="00281E47"/>
    <w:rsid w:val="002837EF"/>
    <w:rsid w:val="00286342"/>
    <w:rsid w:val="0028688D"/>
    <w:rsid w:val="002875A3"/>
    <w:rsid w:val="002911E0"/>
    <w:rsid w:val="00292339"/>
    <w:rsid w:val="00292749"/>
    <w:rsid w:val="00292A36"/>
    <w:rsid w:val="0029474E"/>
    <w:rsid w:val="00297C50"/>
    <w:rsid w:val="002A0321"/>
    <w:rsid w:val="002A0F60"/>
    <w:rsid w:val="002A1939"/>
    <w:rsid w:val="002A1CD9"/>
    <w:rsid w:val="002A2489"/>
    <w:rsid w:val="002A322A"/>
    <w:rsid w:val="002A33D9"/>
    <w:rsid w:val="002A4267"/>
    <w:rsid w:val="002A4907"/>
    <w:rsid w:val="002A514A"/>
    <w:rsid w:val="002A739C"/>
    <w:rsid w:val="002A784E"/>
    <w:rsid w:val="002A7978"/>
    <w:rsid w:val="002A7FF2"/>
    <w:rsid w:val="002B14AB"/>
    <w:rsid w:val="002B1DA2"/>
    <w:rsid w:val="002B29A0"/>
    <w:rsid w:val="002B2A77"/>
    <w:rsid w:val="002B5DE6"/>
    <w:rsid w:val="002B6B5E"/>
    <w:rsid w:val="002C0CF3"/>
    <w:rsid w:val="002C1810"/>
    <w:rsid w:val="002C233C"/>
    <w:rsid w:val="002C2E65"/>
    <w:rsid w:val="002C303F"/>
    <w:rsid w:val="002C736D"/>
    <w:rsid w:val="002C74DD"/>
    <w:rsid w:val="002C781B"/>
    <w:rsid w:val="002D01E2"/>
    <w:rsid w:val="002D1EC9"/>
    <w:rsid w:val="002D3576"/>
    <w:rsid w:val="002D37A7"/>
    <w:rsid w:val="002D3E8E"/>
    <w:rsid w:val="002D53B1"/>
    <w:rsid w:val="002D7F8B"/>
    <w:rsid w:val="002E032E"/>
    <w:rsid w:val="002E3E1A"/>
    <w:rsid w:val="002E5284"/>
    <w:rsid w:val="002E58E9"/>
    <w:rsid w:val="002E6204"/>
    <w:rsid w:val="002E6F48"/>
    <w:rsid w:val="002E7A10"/>
    <w:rsid w:val="002F076E"/>
    <w:rsid w:val="002F0F22"/>
    <w:rsid w:val="002F172E"/>
    <w:rsid w:val="002F1885"/>
    <w:rsid w:val="002F26AD"/>
    <w:rsid w:val="002F435E"/>
    <w:rsid w:val="002F57A4"/>
    <w:rsid w:val="003019D7"/>
    <w:rsid w:val="00301E2E"/>
    <w:rsid w:val="00303400"/>
    <w:rsid w:val="00306CD1"/>
    <w:rsid w:val="003074A2"/>
    <w:rsid w:val="00307ADD"/>
    <w:rsid w:val="00307ECE"/>
    <w:rsid w:val="00310471"/>
    <w:rsid w:val="00310CC4"/>
    <w:rsid w:val="00313F78"/>
    <w:rsid w:val="00314EDE"/>
    <w:rsid w:val="003174F1"/>
    <w:rsid w:val="00320346"/>
    <w:rsid w:val="00322A84"/>
    <w:rsid w:val="003242F1"/>
    <w:rsid w:val="00326A41"/>
    <w:rsid w:val="00330B3C"/>
    <w:rsid w:val="00330E67"/>
    <w:rsid w:val="003332F4"/>
    <w:rsid w:val="00333AEE"/>
    <w:rsid w:val="00334C75"/>
    <w:rsid w:val="0033529D"/>
    <w:rsid w:val="003414CB"/>
    <w:rsid w:val="0034215F"/>
    <w:rsid w:val="003422AB"/>
    <w:rsid w:val="003423FE"/>
    <w:rsid w:val="00343B37"/>
    <w:rsid w:val="00344159"/>
    <w:rsid w:val="00344682"/>
    <w:rsid w:val="00345BFE"/>
    <w:rsid w:val="003469BE"/>
    <w:rsid w:val="003529A4"/>
    <w:rsid w:val="00354127"/>
    <w:rsid w:val="003557E8"/>
    <w:rsid w:val="00356A40"/>
    <w:rsid w:val="00360E12"/>
    <w:rsid w:val="00366695"/>
    <w:rsid w:val="00366838"/>
    <w:rsid w:val="00366970"/>
    <w:rsid w:val="00367C13"/>
    <w:rsid w:val="00370D2A"/>
    <w:rsid w:val="003739C5"/>
    <w:rsid w:val="00376857"/>
    <w:rsid w:val="003771C7"/>
    <w:rsid w:val="00377789"/>
    <w:rsid w:val="00377E84"/>
    <w:rsid w:val="00380285"/>
    <w:rsid w:val="00381DC5"/>
    <w:rsid w:val="003841C3"/>
    <w:rsid w:val="0038503A"/>
    <w:rsid w:val="00385047"/>
    <w:rsid w:val="0038547E"/>
    <w:rsid w:val="003855F7"/>
    <w:rsid w:val="00385E65"/>
    <w:rsid w:val="00387DF9"/>
    <w:rsid w:val="00392FF0"/>
    <w:rsid w:val="00393450"/>
    <w:rsid w:val="00393899"/>
    <w:rsid w:val="00393CFA"/>
    <w:rsid w:val="0039434D"/>
    <w:rsid w:val="00394DE0"/>
    <w:rsid w:val="00394FED"/>
    <w:rsid w:val="00396C39"/>
    <w:rsid w:val="003A05B9"/>
    <w:rsid w:val="003A0914"/>
    <w:rsid w:val="003A115A"/>
    <w:rsid w:val="003A21E8"/>
    <w:rsid w:val="003A38BD"/>
    <w:rsid w:val="003A3BA2"/>
    <w:rsid w:val="003A3FEC"/>
    <w:rsid w:val="003A4125"/>
    <w:rsid w:val="003A6604"/>
    <w:rsid w:val="003A70DB"/>
    <w:rsid w:val="003A72DE"/>
    <w:rsid w:val="003A7B08"/>
    <w:rsid w:val="003B00D5"/>
    <w:rsid w:val="003B3BB5"/>
    <w:rsid w:val="003B3C51"/>
    <w:rsid w:val="003B44A5"/>
    <w:rsid w:val="003B47FE"/>
    <w:rsid w:val="003B5E67"/>
    <w:rsid w:val="003B63F9"/>
    <w:rsid w:val="003B6669"/>
    <w:rsid w:val="003B76F2"/>
    <w:rsid w:val="003B791E"/>
    <w:rsid w:val="003C02C1"/>
    <w:rsid w:val="003C0B51"/>
    <w:rsid w:val="003C16C4"/>
    <w:rsid w:val="003C3567"/>
    <w:rsid w:val="003C478C"/>
    <w:rsid w:val="003C5368"/>
    <w:rsid w:val="003C7466"/>
    <w:rsid w:val="003D23D0"/>
    <w:rsid w:val="003D3317"/>
    <w:rsid w:val="003D4B8D"/>
    <w:rsid w:val="003D55C4"/>
    <w:rsid w:val="003D604A"/>
    <w:rsid w:val="003E07A9"/>
    <w:rsid w:val="003E1427"/>
    <w:rsid w:val="003E3EBA"/>
    <w:rsid w:val="003E4182"/>
    <w:rsid w:val="003E5C97"/>
    <w:rsid w:val="003E5D5E"/>
    <w:rsid w:val="003E6437"/>
    <w:rsid w:val="003E6A48"/>
    <w:rsid w:val="003E6D1F"/>
    <w:rsid w:val="003E74B0"/>
    <w:rsid w:val="003F1923"/>
    <w:rsid w:val="003F27FF"/>
    <w:rsid w:val="003F29DA"/>
    <w:rsid w:val="003F3C45"/>
    <w:rsid w:val="003F50D7"/>
    <w:rsid w:val="003F50F8"/>
    <w:rsid w:val="003F52ED"/>
    <w:rsid w:val="003F5E01"/>
    <w:rsid w:val="003F78ED"/>
    <w:rsid w:val="003F78F1"/>
    <w:rsid w:val="00404E00"/>
    <w:rsid w:val="004058DC"/>
    <w:rsid w:val="0040601A"/>
    <w:rsid w:val="00407419"/>
    <w:rsid w:val="0041056F"/>
    <w:rsid w:val="00411806"/>
    <w:rsid w:val="00415824"/>
    <w:rsid w:val="004210F0"/>
    <w:rsid w:val="004212A8"/>
    <w:rsid w:val="00421B48"/>
    <w:rsid w:val="004223FE"/>
    <w:rsid w:val="00422EC7"/>
    <w:rsid w:val="00425637"/>
    <w:rsid w:val="004278C5"/>
    <w:rsid w:val="00427FCE"/>
    <w:rsid w:val="0043045B"/>
    <w:rsid w:val="0043186D"/>
    <w:rsid w:val="00431A4A"/>
    <w:rsid w:val="00431D7D"/>
    <w:rsid w:val="00433C03"/>
    <w:rsid w:val="00434FEE"/>
    <w:rsid w:val="0043500E"/>
    <w:rsid w:val="00435019"/>
    <w:rsid w:val="004359B6"/>
    <w:rsid w:val="00435B48"/>
    <w:rsid w:val="00436154"/>
    <w:rsid w:val="00436AF5"/>
    <w:rsid w:val="00436DBC"/>
    <w:rsid w:val="00440B4F"/>
    <w:rsid w:val="00441844"/>
    <w:rsid w:val="00442A82"/>
    <w:rsid w:val="00442E02"/>
    <w:rsid w:val="004456F7"/>
    <w:rsid w:val="00445F48"/>
    <w:rsid w:val="0044632F"/>
    <w:rsid w:val="00447AB4"/>
    <w:rsid w:val="00453D27"/>
    <w:rsid w:val="0045441F"/>
    <w:rsid w:val="00454CE8"/>
    <w:rsid w:val="00455EC9"/>
    <w:rsid w:val="00456690"/>
    <w:rsid w:val="00456AA3"/>
    <w:rsid w:val="004575B6"/>
    <w:rsid w:val="00461A1D"/>
    <w:rsid w:val="00461CC2"/>
    <w:rsid w:val="00462FC8"/>
    <w:rsid w:val="00463DCA"/>
    <w:rsid w:val="00466420"/>
    <w:rsid w:val="00467030"/>
    <w:rsid w:val="004707DB"/>
    <w:rsid w:val="00471F41"/>
    <w:rsid w:val="00472410"/>
    <w:rsid w:val="00472509"/>
    <w:rsid w:val="00473699"/>
    <w:rsid w:val="00473758"/>
    <w:rsid w:val="00474FDF"/>
    <w:rsid w:val="004756F4"/>
    <w:rsid w:val="0047710B"/>
    <w:rsid w:val="004806D5"/>
    <w:rsid w:val="00480B55"/>
    <w:rsid w:val="00480C8D"/>
    <w:rsid w:val="0048140B"/>
    <w:rsid w:val="00483CA8"/>
    <w:rsid w:val="00483CD4"/>
    <w:rsid w:val="0048403B"/>
    <w:rsid w:val="0048404A"/>
    <w:rsid w:val="004842D6"/>
    <w:rsid w:val="00486042"/>
    <w:rsid w:val="0048689F"/>
    <w:rsid w:val="00491BB9"/>
    <w:rsid w:val="004926AD"/>
    <w:rsid w:val="00493D2A"/>
    <w:rsid w:val="0049427F"/>
    <w:rsid w:val="00494A1E"/>
    <w:rsid w:val="00494D31"/>
    <w:rsid w:val="00496500"/>
    <w:rsid w:val="0049726D"/>
    <w:rsid w:val="004A0574"/>
    <w:rsid w:val="004A0BDD"/>
    <w:rsid w:val="004A18E6"/>
    <w:rsid w:val="004A1EC4"/>
    <w:rsid w:val="004A1F0E"/>
    <w:rsid w:val="004A30A1"/>
    <w:rsid w:val="004A31C5"/>
    <w:rsid w:val="004A3913"/>
    <w:rsid w:val="004A3FA4"/>
    <w:rsid w:val="004A4047"/>
    <w:rsid w:val="004A4F57"/>
    <w:rsid w:val="004A6D7F"/>
    <w:rsid w:val="004A76DD"/>
    <w:rsid w:val="004B2FB7"/>
    <w:rsid w:val="004B36D7"/>
    <w:rsid w:val="004B36F5"/>
    <w:rsid w:val="004C02D5"/>
    <w:rsid w:val="004C07C7"/>
    <w:rsid w:val="004C40FC"/>
    <w:rsid w:val="004C4B6D"/>
    <w:rsid w:val="004C6595"/>
    <w:rsid w:val="004C6970"/>
    <w:rsid w:val="004C768C"/>
    <w:rsid w:val="004C7E4E"/>
    <w:rsid w:val="004D1B3E"/>
    <w:rsid w:val="004D285D"/>
    <w:rsid w:val="004D2914"/>
    <w:rsid w:val="004D3ADB"/>
    <w:rsid w:val="004D3CDC"/>
    <w:rsid w:val="004D41D3"/>
    <w:rsid w:val="004D4EE7"/>
    <w:rsid w:val="004D58A3"/>
    <w:rsid w:val="004D58D0"/>
    <w:rsid w:val="004D6E79"/>
    <w:rsid w:val="004E09E5"/>
    <w:rsid w:val="004E2953"/>
    <w:rsid w:val="004E2CEF"/>
    <w:rsid w:val="004E3A94"/>
    <w:rsid w:val="004E5C0A"/>
    <w:rsid w:val="004E5DB9"/>
    <w:rsid w:val="004F0707"/>
    <w:rsid w:val="004F0D66"/>
    <w:rsid w:val="004F1428"/>
    <w:rsid w:val="004F220F"/>
    <w:rsid w:val="004F2F8C"/>
    <w:rsid w:val="004F4CE6"/>
    <w:rsid w:val="004F5242"/>
    <w:rsid w:val="004F67C2"/>
    <w:rsid w:val="004F77E1"/>
    <w:rsid w:val="0050041E"/>
    <w:rsid w:val="00500A85"/>
    <w:rsid w:val="00501190"/>
    <w:rsid w:val="00501FA3"/>
    <w:rsid w:val="0050391B"/>
    <w:rsid w:val="00506565"/>
    <w:rsid w:val="00506D63"/>
    <w:rsid w:val="00507A8A"/>
    <w:rsid w:val="0051197F"/>
    <w:rsid w:val="005120B8"/>
    <w:rsid w:val="00512C55"/>
    <w:rsid w:val="005130C7"/>
    <w:rsid w:val="00513728"/>
    <w:rsid w:val="005146F9"/>
    <w:rsid w:val="005210F1"/>
    <w:rsid w:val="00521E7C"/>
    <w:rsid w:val="0052219E"/>
    <w:rsid w:val="005229C4"/>
    <w:rsid w:val="00523096"/>
    <w:rsid w:val="00526EBB"/>
    <w:rsid w:val="0053162C"/>
    <w:rsid w:val="00531742"/>
    <w:rsid w:val="00531CF9"/>
    <w:rsid w:val="00534F5A"/>
    <w:rsid w:val="00535206"/>
    <w:rsid w:val="00535B06"/>
    <w:rsid w:val="005361F6"/>
    <w:rsid w:val="005409A4"/>
    <w:rsid w:val="005418FC"/>
    <w:rsid w:val="00541D37"/>
    <w:rsid w:val="00542843"/>
    <w:rsid w:val="0054296C"/>
    <w:rsid w:val="00543067"/>
    <w:rsid w:val="00545B40"/>
    <w:rsid w:val="00545BDC"/>
    <w:rsid w:val="00545C19"/>
    <w:rsid w:val="00546D13"/>
    <w:rsid w:val="005474F0"/>
    <w:rsid w:val="00551262"/>
    <w:rsid w:val="00552900"/>
    <w:rsid w:val="005557B8"/>
    <w:rsid w:val="00556343"/>
    <w:rsid w:val="00562776"/>
    <w:rsid w:val="0056738D"/>
    <w:rsid w:val="0056783F"/>
    <w:rsid w:val="00567BCC"/>
    <w:rsid w:val="00570702"/>
    <w:rsid w:val="005709AE"/>
    <w:rsid w:val="005712BA"/>
    <w:rsid w:val="00572582"/>
    <w:rsid w:val="00573086"/>
    <w:rsid w:val="00573E5B"/>
    <w:rsid w:val="005761CF"/>
    <w:rsid w:val="00576FCA"/>
    <w:rsid w:val="00580C39"/>
    <w:rsid w:val="00582824"/>
    <w:rsid w:val="00583594"/>
    <w:rsid w:val="005842B1"/>
    <w:rsid w:val="00585AA8"/>
    <w:rsid w:val="00586410"/>
    <w:rsid w:val="00586932"/>
    <w:rsid w:val="00587F7F"/>
    <w:rsid w:val="005907D9"/>
    <w:rsid w:val="0059082C"/>
    <w:rsid w:val="0059135C"/>
    <w:rsid w:val="005933C1"/>
    <w:rsid w:val="00593911"/>
    <w:rsid w:val="00593C6B"/>
    <w:rsid w:val="00595447"/>
    <w:rsid w:val="00596C39"/>
    <w:rsid w:val="005A31EA"/>
    <w:rsid w:val="005A3E57"/>
    <w:rsid w:val="005A4401"/>
    <w:rsid w:val="005A5285"/>
    <w:rsid w:val="005A57AC"/>
    <w:rsid w:val="005A5955"/>
    <w:rsid w:val="005A6006"/>
    <w:rsid w:val="005A6088"/>
    <w:rsid w:val="005A638F"/>
    <w:rsid w:val="005A72FC"/>
    <w:rsid w:val="005A7A0B"/>
    <w:rsid w:val="005B0A52"/>
    <w:rsid w:val="005B140C"/>
    <w:rsid w:val="005B1698"/>
    <w:rsid w:val="005B1EEE"/>
    <w:rsid w:val="005B208E"/>
    <w:rsid w:val="005B30BA"/>
    <w:rsid w:val="005B36DA"/>
    <w:rsid w:val="005B4BB8"/>
    <w:rsid w:val="005B7B12"/>
    <w:rsid w:val="005C01CC"/>
    <w:rsid w:val="005C0528"/>
    <w:rsid w:val="005C3335"/>
    <w:rsid w:val="005C4EF1"/>
    <w:rsid w:val="005C5643"/>
    <w:rsid w:val="005C69C4"/>
    <w:rsid w:val="005C786A"/>
    <w:rsid w:val="005C7B4F"/>
    <w:rsid w:val="005C7C05"/>
    <w:rsid w:val="005D15F3"/>
    <w:rsid w:val="005D1944"/>
    <w:rsid w:val="005D1D14"/>
    <w:rsid w:val="005D2C8A"/>
    <w:rsid w:val="005D3702"/>
    <w:rsid w:val="005D4C83"/>
    <w:rsid w:val="005D7CB6"/>
    <w:rsid w:val="005E12DE"/>
    <w:rsid w:val="005E13ED"/>
    <w:rsid w:val="005E217D"/>
    <w:rsid w:val="005E2326"/>
    <w:rsid w:val="005E24CC"/>
    <w:rsid w:val="005E28F1"/>
    <w:rsid w:val="005E4B39"/>
    <w:rsid w:val="005E620C"/>
    <w:rsid w:val="005F00EF"/>
    <w:rsid w:val="005F0802"/>
    <w:rsid w:val="005F08B5"/>
    <w:rsid w:val="005F0961"/>
    <w:rsid w:val="005F10CE"/>
    <w:rsid w:val="005F1E29"/>
    <w:rsid w:val="005F2F9F"/>
    <w:rsid w:val="005F31BC"/>
    <w:rsid w:val="005F34F5"/>
    <w:rsid w:val="005F4230"/>
    <w:rsid w:val="005F7E4E"/>
    <w:rsid w:val="00600659"/>
    <w:rsid w:val="00605150"/>
    <w:rsid w:val="006075E8"/>
    <w:rsid w:val="00607FB1"/>
    <w:rsid w:val="00611EBD"/>
    <w:rsid w:val="006120C3"/>
    <w:rsid w:val="00614C96"/>
    <w:rsid w:val="00614CAC"/>
    <w:rsid w:val="006152E7"/>
    <w:rsid w:val="006156A1"/>
    <w:rsid w:val="00615A88"/>
    <w:rsid w:val="00617433"/>
    <w:rsid w:val="00620FFF"/>
    <w:rsid w:val="006223F3"/>
    <w:rsid w:val="00622B10"/>
    <w:rsid w:val="00622C48"/>
    <w:rsid w:val="006232B9"/>
    <w:rsid w:val="00623C1A"/>
    <w:rsid w:val="006256D0"/>
    <w:rsid w:val="00627220"/>
    <w:rsid w:val="00630CDC"/>
    <w:rsid w:val="00632C15"/>
    <w:rsid w:val="00632F3D"/>
    <w:rsid w:val="00633212"/>
    <w:rsid w:val="00634F3E"/>
    <w:rsid w:val="00636789"/>
    <w:rsid w:val="00636B0D"/>
    <w:rsid w:val="00636C82"/>
    <w:rsid w:val="00637C57"/>
    <w:rsid w:val="00640BE4"/>
    <w:rsid w:val="0064159E"/>
    <w:rsid w:val="00641F63"/>
    <w:rsid w:val="00642F0E"/>
    <w:rsid w:val="00643879"/>
    <w:rsid w:val="00643956"/>
    <w:rsid w:val="00643E8D"/>
    <w:rsid w:val="0064533B"/>
    <w:rsid w:val="00646F1A"/>
    <w:rsid w:val="00647533"/>
    <w:rsid w:val="00653A87"/>
    <w:rsid w:val="00654FFE"/>
    <w:rsid w:val="006560FB"/>
    <w:rsid w:val="00656319"/>
    <w:rsid w:val="006566B1"/>
    <w:rsid w:val="0065685E"/>
    <w:rsid w:val="00656DF2"/>
    <w:rsid w:val="00657C57"/>
    <w:rsid w:val="0066004B"/>
    <w:rsid w:val="0066017E"/>
    <w:rsid w:val="006611A1"/>
    <w:rsid w:val="006616EC"/>
    <w:rsid w:val="0066562B"/>
    <w:rsid w:val="00667328"/>
    <w:rsid w:val="00670509"/>
    <w:rsid w:val="006709BE"/>
    <w:rsid w:val="0067141B"/>
    <w:rsid w:val="006716F6"/>
    <w:rsid w:val="00672B8D"/>
    <w:rsid w:val="00673A7E"/>
    <w:rsid w:val="00674E57"/>
    <w:rsid w:val="00674F79"/>
    <w:rsid w:val="00676B3D"/>
    <w:rsid w:val="00676D32"/>
    <w:rsid w:val="00676DCE"/>
    <w:rsid w:val="00677626"/>
    <w:rsid w:val="00677639"/>
    <w:rsid w:val="00681AD0"/>
    <w:rsid w:val="00683293"/>
    <w:rsid w:val="00683AB3"/>
    <w:rsid w:val="00683B3E"/>
    <w:rsid w:val="0068404A"/>
    <w:rsid w:val="00684AAC"/>
    <w:rsid w:val="00686070"/>
    <w:rsid w:val="00687398"/>
    <w:rsid w:val="00690BFF"/>
    <w:rsid w:val="006912BE"/>
    <w:rsid w:val="00691C75"/>
    <w:rsid w:val="006961E7"/>
    <w:rsid w:val="006964CF"/>
    <w:rsid w:val="006A088D"/>
    <w:rsid w:val="006A0EA9"/>
    <w:rsid w:val="006A14D4"/>
    <w:rsid w:val="006A16F7"/>
    <w:rsid w:val="006A5516"/>
    <w:rsid w:val="006A5DAB"/>
    <w:rsid w:val="006A6614"/>
    <w:rsid w:val="006A6D3A"/>
    <w:rsid w:val="006A7B16"/>
    <w:rsid w:val="006B0700"/>
    <w:rsid w:val="006B35F7"/>
    <w:rsid w:val="006B3D1A"/>
    <w:rsid w:val="006B494B"/>
    <w:rsid w:val="006B5761"/>
    <w:rsid w:val="006B77A1"/>
    <w:rsid w:val="006B7F56"/>
    <w:rsid w:val="006C0041"/>
    <w:rsid w:val="006C0373"/>
    <w:rsid w:val="006C168D"/>
    <w:rsid w:val="006C196A"/>
    <w:rsid w:val="006C237B"/>
    <w:rsid w:val="006C379D"/>
    <w:rsid w:val="006C543A"/>
    <w:rsid w:val="006C5807"/>
    <w:rsid w:val="006C64EB"/>
    <w:rsid w:val="006D11B0"/>
    <w:rsid w:val="006D1494"/>
    <w:rsid w:val="006D1A68"/>
    <w:rsid w:val="006D2271"/>
    <w:rsid w:val="006D2D53"/>
    <w:rsid w:val="006D4206"/>
    <w:rsid w:val="006D7F8D"/>
    <w:rsid w:val="006D7F94"/>
    <w:rsid w:val="006E31C7"/>
    <w:rsid w:val="006E35C4"/>
    <w:rsid w:val="006F1C90"/>
    <w:rsid w:val="006F2F4C"/>
    <w:rsid w:val="006F3061"/>
    <w:rsid w:val="006F39C1"/>
    <w:rsid w:val="006F3C5F"/>
    <w:rsid w:val="006F4BED"/>
    <w:rsid w:val="006F4D80"/>
    <w:rsid w:val="006F61D3"/>
    <w:rsid w:val="006F7343"/>
    <w:rsid w:val="007002B0"/>
    <w:rsid w:val="007010BE"/>
    <w:rsid w:val="0070371F"/>
    <w:rsid w:val="00704504"/>
    <w:rsid w:val="00705144"/>
    <w:rsid w:val="00705673"/>
    <w:rsid w:val="007076F3"/>
    <w:rsid w:val="007121D5"/>
    <w:rsid w:val="007123FC"/>
    <w:rsid w:val="00713F75"/>
    <w:rsid w:val="00714EC1"/>
    <w:rsid w:val="0071672E"/>
    <w:rsid w:val="0072013A"/>
    <w:rsid w:val="00720A29"/>
    <w:rsid w:val="00721E37"/>
    <w:rsid w:val="00722CFC"/>
    <w:rsid w:val="00723E87"/>
    <w:rsid w:val="00724292"/>
    <w:rsid w:val="00724627"/>
    <w:rsid w:val="00724D01"/>
    <w:rsid w:val="007317F3"/>
    <w:rsid w:val="007324BB"/>
    <w:rsid w:val="0073676A"/>
    <w:rsid w:val="0073725A"/>
    <w:rsid w:val="00737B53"/>
    <w:rsid w:val="00737B89"/>
    <w:rsid w:val="00742983"/>
    <w:rsid w:val="007442A6"/>
    <w:rsid w:val="007453E0"/>
    <w:rsid w:val="007467A5"/>
    <w:rsid w:val="0074776E"/>
    <w:rsid w:val="00751903"/>
    <w:rsid w:val="00751E2C"/>
    <w:rsid w:val="00751F1A"/>
    <w:rsid w:val="00753610"/>
    <w:rsid w:val="007536A1"/>
    <w:rsid w:val="00753EDB"/>
    <w:rsid w:val="00754489"/>
    <w:rsid w:val="0075542D"/>
    <w:rsid w:val="007554CE"/>
    <w:rsid w:val="007558F0"/>
    <w:rsid w:val="00755932"/>
    <w:rsid w:val="00756256"/>
    <w:rsid w:val="00756D7A"/>
    <w:rsid w:val="00760393"/>
    <w:rsid w:val="00761F28"/>
    <w:rsid w:val="0076687C"/>
    <w:rsid w:val="00766E55"/>
    <w:rsid w:val="007676C2"/>
    <w:rsid w:val="00772613"/>
    <w:rsid w:val="007743A7"/>
    <w:rsid w:val="00774F4E"/>
    <w:rsid w:val="007757CC"/>
    <w:rsid w:val="007769DD"/>
    <w:rsid w:val="00777D0A"/>
    <w:rsid w:val="0078228C"/>
    <w:rsid w:val="00782618"/>
    <w:rsid w:val="007834EC"/>
    <w:rsid w:val="0078625A"/>
    <w:rsid w:val="0078648D"/>
    <w:rsid w:val="00786E51"/>
    <w:rsid w:val="0079359C"/>
    <w:rsid w:val="0079473B"/>
    <w:rsid w:val="00794850"/>
    <w:rsid w:val="007949F3"/>
    <w:rsid w:val="0079593B"/>
    <w:rsid w:val="007960CE"/>
    <w:rsid w:val="00796582"/>
    <w:rsid w:val="0079669D"/>
    <w:rsid w:val="00796B59"/>
    <w:rsid w:val="00797753"/>
    <w:rsid w:val="007A0BEB"/>
    <w:rsid w:val="007A2CC7"/>
    <w:rsid w:val="007A3526"/>
    <w:rsid w:val="007A3AC3"/>
    <w:rsid w:val="007A3DC0"/>
    <w:rsid w:val="007A3E90"/>
    <w:rsid w:val="007A477E"/>
    <w:rsid w:val="007A687A"/>
    <w:rsid w:val="007A76A1"/>
    <w:rsid w:val="007B2AD2"/>
    <w:rsid w:val="007B598F"/>
    <w:rsid w:val="007B6056"/>
    <w:rsid w:val="007B6593"/>
    <w:rsid w:val="007B6D53"/>
    <w:rsid w:val="007B746D"/>
    <w:rsid w:val="007B787E"/>
    <w:rsid w:val="007C034A"/>
    <w:rsid w:val="007C0A7E"/>
    <w:rsid w:val="007C1688"/>
    <w:rsid w:val="007C17A9"/>
    <w:rsid w:val="007C347B"/>
    <w:rsid w:val="007C5F6F"/>
    <w:rsid w:val="007C677E"/>
    <w:rsid w:val="007D0774"/>
    <w:rsid w:val="007D0BFB"/>
    <w:rsid w:val="007D147B"/>
    <w:rsid w:val="007D4F74"/>
    <w:rsid w:val="007D5617"/>
    <w:rsid w:val="007D6B82"/>
    <w:rsid w:val="007E430A"/>
    <w:rsid w:val="007E79CF"/>
    <w:rsid w:val="007F22F0"/>
    <w:rsid w:val="007F64C6"/>
    <w:rsid w:val="0080016E"/>
    <w:rsid w:val="008005CA"/>
    <w:rsid w:val="008014F4"/>
    <w:rsid w:val="00801847"/>
    <w:rsid w:val="008032AD"/>
    <w:rsid w:val="00805217"/>
    <w:rsid w:val="00805B64"/>
    <w:rsid w:val="00805C31"/>
    <w:rsid w:val="00807D3D"/>
    <w:rsid w:val="00810B99"/>
    <w:rsid w:val="00810BD9"/>
    <w:rsid w:val="00810CD3"/>
    <w:rsid w:val="008115D9"/>
    <w:rsid w:val="008123FF"/>
    <w:rsid w:val="00812CBB"/>
    <w:rsid w:val="00813593"/>
    <w:rsid w:val="00814357"/>
    <w:rsid w:val="008143CD"/>
    <w:rsid w:val="00816E93"/>
    <w:rsid w:val="00821925"/>
    <w:rsid w:val="00822724"/>
    <w:rsid w:val="008231CA"/>
    <w:rsid w:val="008239C4"/>
    <w:rsid w:val="0082470D"/>
    <w:rsid w:val="0082472A"/>
    <w:rsid w:val="008309CC"/>
    <w:rsid w:val="00831ABB"/>
    <w:rsid w:val="00831CFB"/>
    <w:rsid w:val="00833972"/>
    <w:rsid w:val="00834B63"/>
    <w:rsid w:val="00836A46"/>
    <w:rsid w:val="00836B80"/>
    <w:rsid w:val="00841A7D"/>
    <w:rsid w:val="00841DC9"/>
    <w:rsid w:val="00842B9A"/>
    <w:rsid w:val="00843722"/>
    <w:rsid w:val="00846100"/>
    <w:rsid w:val="00847239"/>
    <w:rsid w:val="00847756"/>
    <w:rsid w:val="00847955"/>
    <w:rsid w:val="00847F80"/>
    <w:rsid w:val="008505B8"/>
    <w:rsid w:val="00851986"/>
    <w:rsid w:val="008544D4"/>
    <w:rsid w:val="008568D0"/>
    <w:rsid w:val="00856EFA"/>
    <w:rsid w:val="00860C10"/>
    <w:rsid w:val="00862781"/>
    <w:rsid w:val="00864D74"/>
    <w:rsid w:val="0086668E"/>
    <w:rsid w:val="008671EF"/>
    <w:rsid w:val="00870DA9"/>
    <w:rsid w:val="008730FA"/>
    <w:rsid w:val="008738B5"/>
    <w:rsid w:val="008738D0"/>
    <w:rsid w:val="00873EFC"/>
    <w:rsid w:val="008743E1"/>
    <w:rsid w:val="00875A11"/>
    <w:rsid w:val="008769BE"/>
    <w:rsid w:val="00876E29"/>
    <w:rsid w:val="00876FB5"/>
    <w:rsid w:val="00877BCC"/>
    <w:rsid w:val="00877DB1"/>
    <w:rsid w:val="00880A9C"/>
    <w:rsid w:val="00881A5A"/>
    <w:rsid w:val="0088221D"/>
    <w:rsid w:val="0088789F"/>
    <w:rsid w:val="00887FA9"/>
    <w:rsid w:val="00891CAB"/>
    <w:rsid w:val="00891DAC"/>
    <w:rsid w:val="00892384"/>
    <w:rsid w:val="00893082"/>
    <w:rsid w:val="00894593"/>
    <w:rsid w:val="00896A93"/>
    <w:rsid w:val="00896C6F"/>
    <w:rsid w:val="008A335C"/>
    <w:rsid w:val="008A3667"/>
    <w:rsid w:val="008A50CC"/>
    <w:rsid w:val="008A6B60"/>
    <w:rsid w:val="008B1BB9"/>
    <w:rsid w:val="008B34B3"/>
    <w:rsid w:val="008B66C7"/>
    <w:rsid w:val="008B6706"/>
    <w:rsid w:val="008C0991"/>
    <w:rsid w:val="008C64A4"/>
    <w:rsid w:val="008C7085"/>
    <w:rsid w:val="008C7306"/>
    <w:rsid w:val="008C78B4"/>
    <w:rsid w:val="008D0C9B"/>
    <w:rsid w:val="008D200A"/>
    <w:rsid w:val="008D35A2"/>
    <w:rsid w:val="008D3D5D"/>
    <w:rsid w:val="008D6F0F"/>
    <w:rsid w:val="008E0528"/>
    <w:rsid w:val="008E18FF"/>
    <w:rsid w:val="008E30F2"/>
    <w:rsid w:val="008E32D3"/>
    <w:rsid w:val="008E4257"/>
    <w:rsid w:val="008E4BA9"/>
    <w:rsid w:val="008E5750"/>
    <w:rsid w:val="008E7EC5"/>
    <w:rsid w:val="008F5E1F"/>
    <w:rsid w:val="008F620C"/>
    <w:rsid w:val="00900026"/>
    <w:rsid w:val="00900BD7"/>
    <w:rsid w:val="00900C64"/>
    <w:rsid w:val="00903546"/>
    <w:rsid w:val="00903C9D"/>
    <w:rsid w:val="00905AB0"/>
    <w:rsid w:val="00905B13"/>
    <w:rsid w:val="00905D1E"/>
    <w:rsid w:val="009062D0"/>
    <w:rsid w:val="0090634B"/>
    <w:rsid w:val="009068A1"/>
    <w:rsid w:val="00906A91"/>
    <w:rsid w:val="00906F71"/>
    <w:rsid w:val="0091072A"/>
    <w:rsid w:val="00913774"/>
    <w:rsid w:val="00913CD3"/>
    <w:rsid w:val="00915B94"/>
    <w:rsid w:val="009177A5"/>
    <w:rsid w:val="00917BE3"/>
    <w:rsid w:val="00920291"/>
    <w:rsid w:val="009207FE"/>
    <w:rsid w:val="0092325C"/>
    <w:rsid w:val="00925BE7"/>
    <w:rsid w:val="0093059D"/>
    <w:rsid w:val="00930E50"/>
    <w:rsid w:val="00931042"/>
    <w:rsid w:val="00931EDA"/>
    <w:rsid w:val="009331E0"/>
    <w:rsid w:val="00933E5F"/>
    <w:rsid w:val="009367A4"/>
    <w:rsid w:val="0093785B"/>
    <w:rsid w:val="0094097E"/>
    <w:rsid w:val="0094100C"/>
    <w:rsid w:val="009417E1"/>
    <w:rsid w:val="009421A6"/>
    <w:rsid w:val="00942569"/>
    <w:rsid w:val="0094449E"/>
    <w:rsid w:val="009453F2"/>
    <w:rsid w:val="009476CB"/>
    <w:rsid w:val="009478B9"/>
    <w:rsid w:val="00951940"/>
    <w:rsid w:val="00951EB8"/>
    <w:rsid w:val="009536A8"/>
    <w:rsid w:val="00954746"/>
    <w:rsid w:val="00954A47"/>
    <w:rsid w:val="00954CBA"/>
    <w:rsid w:val="00954DB8"/>
    <w:rsid w:val="0095653E"/>
    <w:rsid w:val="00956F10"/>
    <w:rsid w:val="00957113"/>
    <w:rsid w:val="00957486"/>
    <w:rsid w:val="009606CF"/>
    <w:rsid w:val="009616EF"/>
    <w:rsid w:val="009627AD"/>
    <w:rsid w:val="0096382B"/>
    <w:rsid w:val="0096560D"/>
    <w:rsid w:val="00970462"/>
    <w:rsid w:val="00970D06"/>
    <w:rsid w:val="00971586"/>
    <w:rsid w:val="00971637"/>
    <w:rsid w:val="0097279D"/>
    <w:rsid w:val="009746A0"/>
    <w:rsid w:val="0097493C"/>
    <w:rsid w:val="00976EA1"/>
    <w:rsid w:val="00977533"/>
    <w:rsid w:val="00977FEC"/>
    <w:rsid w:val="009819A0"/>
    <w:rsid w:val="00981F19"/>
    <w:rsid w:val="00983238"/>
    <w:rsid w:val="00985B05"/>
    <w:rsid w:val="009869C5"/>
    <w:rsid w:val="00987533"/>
    <w:rsid w:val="00990790"/>
    <w:rsid w:val="00992C83"/>
    <w:rsid w:val="00995524"/>
    <w:rsid w:val="0099579F"/>
    <w:rsid w:val="00995A9C"/>
    <w:rsid w:val="009972FA"/>
    <w:rsid w:val="009A0E1C"/>
    <w:rsid w:val="009A2CD3"/>
    <w:rsid w:val="009A441A"/>
    <w:rsid w:val="009A4489"/>
    <w:rsid w:val="009A493A"/>
    <w:rsid w:val="009A5C2B"/>
    <w:rsid w:val="009A6C32"/>
    <w:rsid w:val="009A72D7"/>
    <w:rsid w:val="009B1D75"/>
    <w:rsid w:val="009B27AA"/>
    <w:rsid w:val="009B2D58"/>
    <w:rsid w:val="009B7B12"/>
    <w:rsid w:val="009C0857"/>
    <w:rsid w:val="009C1154"/>
    <w:rsid w:val="009C1D1E"/>
    <w:rsid w:val="009C3A2D"/>
    <w:rsid w:val="009C3CC3"/>
    <w:rsid w:val="009C3EB7"/>
    <w:rsid w:val="009C45B6"/>
    <w:rsid w:val="009C505B"/>
    <w:rsid w:val="009C50EB"/>
    <w:rsid w:val="009C5223"/>
    <w:rsid w:val="009C7F8C"/>
    <w:rsid w:val="009D085B"/>
    <w:rsid w:val="009D0D10"/>
    <w:rsid w:val="009D3AB0"/>
    <w:rsid w:val="009D62E4"/>
    <w:rsid w:val="009D66A8"/>
    <w:rsid w:val="009E0E11"/>
    <w:rsid w:val="009E1F63"/>
    <w:rsid w:val="009E2369"/>
    <w:rsid w:val="009E2B6C"/>
    <w:rsid w:val="009E3B87"/>
    <w:rsid w:val="009E40A1"/>
    <w:rsid w:val="009E4123"/>
    <w:rsid w:val="009E49AC"/>
    <w:rsid w:val="009E536E"/>
    <w:rsid w:val="009F014E"/>
    <w:rsid w:val="009F1F1D"/>
    <w:rsid w:val="009F4BA4"/>
    <w:rsid w:val="009F6C81"/>
    <w:rsid w:val="009F7379"/>
    <w:rsid w:val="009F7863"/>
    <w:rsid w:val="00A0098F"/>
    <w:rsid w:val="00A02A2D"/>
    <w:rsid w:val="00A055F4"/>
    <w:rsid w:val="00A05B8B"/>
    <w:rsid w:val="00A1184A"/>
    <w:rsid w:val="00A11A5F"/>
    <w:rsid w:val="00A21723"/>
    <w:rsid w:val="00A23EBF"/>
    <w:rsid w:val="00A2410D"/>
    <w:rsid w:val="00A24ECD"/>
    <w:rsid w:val="00A250A5"/>
    <w:rsid w:val="00A25366"/>
    <w:rsid w:val="00A27CED"/>
    <w:rsid w:val="00A31224"/>
    <w:rsid w:val="00A3191B"/>
    <w:rsid w:val="00A34558"/>
    <w:rsid w:val="00A34875"/>
    <w:rsid w:val="00A3705A"/>
    <w:rsid w:val="00A40133"/>
    <w:rsid w:val="00A41817"/>
    <w:rsid w:val="00A4421E"/>
    <w:rsid w:val="00A4450E"/>
    <w:rsid w:val="00A455FE"/>
    <w:rsid w:val="00A46338"/>
    <w:rsid w:val="00A47702"/>
    <w:rsid w:val="00A47F61"/>
    <w:rsid w:val="00A5011A"/>
    <w:rsid w:val="00A52589"/>
    <w:rsid w:val="00A53272"/>
    <w:rsid w:val="00A548D6"/>
    <w:rsid w:val="00A55100"/>
    <w:rsid w:val="00A555DF"/>
    <w:rsid w:val="00A55E49"/>
    <w:rsid w:val="00A55F44"/>
    <w:rsid w:val="00A563CF"/>
    <w:rsid w:val="00A578C1"/>
    <w:rsid w:val="00A57FB8"/>
    <w:rsid w:val="00A60369"/>
    <w:rsid w:val="00A60CE6"/>
    <w:rsid w:val="00A60DB8"/>
    <w:rsid w:val="00A61682"/>
    <w:rsid w:val="00A6197F"/>
    <w:rsid w:val="00A61D99"/>
    <w:rsid w:val="00A62874"/>
    <w:rsid w:val="00A62DE6"/>
    <w:rsid w:val="00A657A9"/>
    <w:rsid w:val="00A67CB8"/>
    <w:rsid w:val="00A705E7"/>
    <w:rsid w:val="00A709B7"/>
    <w:rsid w:val="00A70C3B"/>
    <w:rsid w:val="00A716BC"/>
    <w:rsid w:val="00A717DA"/>
    <w:rsid w:val="00A72B0F"/>
    <w:rsid w:val="00A748E8"/>
    <w:rsid w:val="00A75701"/>
    <w:rsid w:val="00A76810"/>
    <w:rsid w:val="00A80EFB"/>
    <w:rsid w:val="00A815B8"/>
    <w:rsid w:val="00A8176F"/>
    <w:rsid w:val="00A81B69"/>
    <w:rsid w:val="00A8399C"/>
    <w:rsid w:val="00A856E4"/>
    <w:rsid w:val="00A8677A"/>
    <w:rsid w:val="00A927D8"/>
    <w:rsid w:val="00A945A4"/>
    <w:rsid w:val="00A966AD"/>
    <w:rsid w:val="00A97147"/>
    <w:rsid w:val="00A97C3B"/>
    <w:rsid w:val="00AA3691"/>
    <w:rsid w:val="00AA6A79"/>
    <w:rsid w:val="00AA6F7D"/>
    <w:rsid w:val="00AA7E70"/>
    <w:rsid w:val="00AB0056"/>
    <w:rsid w:val="00AB03E1"/>
    <w:rsid w:val="00AB118E"/>
    <w:rsid w:val="00AB1B46"/>
    <w:rsid w:val="00AB2564"/>
    <w:rsid w:val="00AB2810"/>
    <w:rsid w:val="00AB2BE1"/>
    <w:rsid w:val="00AB5B04"/>
    <w:rsid w:val="00AB60C0"/>
    <w:rsid w:val="00AB61B2"/>
    <w:rsid w:val="00AB6F72"/>
    <w:rsid w:val="00AB74E4"/>
    <w:rsid w:val="00AB7FCC"/>
    <w:rsid w:val="00AC0046"/>
    <w:rsid w:val="00AC26E0"/>
    <w:rsid w:val="00AC325C"/>
    <w:rsid w:val="00AC3696"/>
    <w:rsid w:val="00AC67FB"/>
    <w:rsid w:val="00AC6F7E"/>
    <w:rsid w:val="00AC7BF2"/>
    <w:rsid w:val="00AC7C57"/>
    <w:rsid w:val="00AD1933"/>
    <w:rsid w:val="00AD1AC8"/>
    <w:rsid w:val="00AD3563"/>
    <w:rsid w:val="00AD366E"/>
    <w:rsid w:val="00AD3D12"/>
    <w:rsid w:val="00AD4E16"/>
    <w:rsid w:val="00AD6B6D"/>
    <w:rsid w:val="00AD772A"/>
    <w:rsid w:val="00AE04F5"/>
    <w:rsid w:val="00AE1E6B"/>
    <w:rsid w:val="00AE24D7"/>
    <w:rsid w:val="00AE298E"/>
    <w:rsid w:val="00AE3662"/>
    <w:rsid w:val="00AE7047"/>
    <w:rsid w:val="00AE75BC"/>
    <w:rsid w:val="00AE7E61"/>
    <w:rsid w:val="00AF109C"/>
    <w:rsid w:val="00AF10BC"/>
    <w:rsid w:val="00AF1D8D"/>
    <w:rsid w:val="00AF29D9"/>
    <w:rsid w:val="00AF316E"/>
    <w:rsid w:val="00AF3AB6"/>
    <w:rsid w:val="00AF544C"/>
    <w:rsid w:val="00AF6100"/>
    <w:rsid w:val="00AF61C8"/>
    <w:rsid w:val="00AF6E29"/>
    <w:rsid w:val="00B0039E"/>
    <w:rsid w:val="00B0059F"/>
    <w:rsid w:val="00B0099E"/>
    <w:rsid w:val="00B0142C"/>
    <w:rsid w:val="00B0184F"/>
    <w:rsid w:val="00B01D40"/>
    <w:rsid w:val="00B022C7"/>
    <w:rsid w:val="00B0476B"/>
    <w:rsid w:val="00B0692C"/>
    <w:rsid w:val="00B06E3C"/>
    <w:rsid w:val="00B07D7C"/>
    <w:rsid w:val="00B102A8"/>
    <w:rsid w:val="00B1065C"/>
    <w:rsid w:val="00B10AE9"/>
    <w:rsid w:val="00B12529"/>
    <w:rsid w:val="00B200C5"/>
    <w:rsid w:val="00B20887"/>
    <w:rsid w:val="00B208CA"/>
    <w:rsid w:val="00B21B57"/>
    <w:rsid w:val="00B21F55"/>
    <w:rsid w:val="00B226DD"/>
    <w:rsid w:val="00B228D3"/>
    <w:rsid w:val="00B23DF0"/>
    <w:rsid w:val="00B241D5"/>
    <w:rsid w:val="00B251B4"/>
    <w:rsid w:val="00B257E6"/>
    <w:rsid w:val="00B25AC7"/>
    <w:rsid w:val="00B2631A"/>
    <w:rsid w:val="00B307DE"/>
    <w:rsid w:val="00B3088B"/>
    <w:rsid w:val="00B31341"/>
    <w:rsid w:val="00B3183C"/>
    <w:rsid w:val="00B340C5"/>
    <w:rsid w:val="00B34171"/>
    <w:rsid w:val="00B34E3A"/>
    <w:rsid w:val="00B37961"/>
    <w:rsid w:val="00B37FCF"/>
    <w:rsid w:val="00B4173D"/>
    <w:rsid w:val="00B41776"/>
    <w:rsid w:val="00B41FE2"/>
    <w:rsid w:val="00B4315B"/>
    <w:rsid w:val="00B443B0"/>
    <w:rsid w:val="00B445A4"/>
    <w:rsid w:val="00B454A5"/>
    <w:rsid w:val="00B46A94"/>
    <w:rsid w:val="00B472E2"/>
    <w:rsid w:val="00B47F97"/>
    <w:rsid w:val="00B5016D"/>
    <w:rsid w:val="00B5031D"/>
    <w:rsid w:val="00B51F83"/>
    <w:rsid w:val="00B5232A"/>
    <w:rsid w:val="00B527D8"/>
    <w:rsid w:val="00B54244"/>
    <w:rsid w:val="00B54415"/>
    <w:rsid w:val="00B562C5"/>
    <w:rsid w:val="00B60B27"/>
    <w:rsid w:val="00B60C18"/>
    <w:rsid w:val="00B642F3"/>
    <w:rsid w:val="00B66936"/>
    <w:rsid w:val="00B66A47"/>
    <w:rsid w:val="00B670DF"/>
    <w:rsid w:val="00B677EA"/>
    <w:rsid w:val="00B72203"/>
    <w:rsid w:val="00B72628"/>
    <w:rsid w:val="00B73BF7"/>
    <w:rsid w:val="00B74CB7"/>
    <w:rsid w:val="00B75378"/>
    <w:rsid w:val="00B753D6"/>
    <w:rsid w:val="00B756D4"/>
    <w:rsid w:val="00B77155"/>
    <w:rsid w:val="00B80476"/>
    <w:rsid w:val="00B80503"/>
    <w:rsid w:val="00B818E2"/>
    <w:rsid w:val="00B81B51"/>
    <w:rsid w:val="00B822CC"/>
    <w:rsid w:val="00B828E7"/>
    <w:rsid w:val="00B82A78"/>
    <w:rsid w:val="00B82E22"/>
    <w:rsid w:val="00B87E55"/>
    <w:rsid w:val="00B92867"/>
    <w:rsid w:val="00B97031"/>
    <w:rsid w:val="00B974B4"/>
    <w:rsid w:val="00B9798E"/>
    <w:rsid w:val="00BA19C2"/>
    <w:rsid w:val="00BA4A85"/>
    <w:rsid w:val="00BA5D38"/>
    <w:rsid w:val="00BA5D73"/>
    <w:rsid w:val="00BB25A0"/>
    <w:rsid w:val="00BB2DEC"/>
    <w:rsid w:val="00BB4A75"/>
    <w:rsid w:val="00BB51AB"/>
    <w:rsid w:val="00BB7D65"/>
    <w:rsid w:val="00BC3959"/>
    <w:rsid w:val="00BC4833"/>
    <w:rsid w:val="00BC52F2"/>
    <w:rsid w:val="00BC5753"/>
    <w:rsid w:val="00BC5F6B"/>
    <w:rsid w:val="00BC6251"/>
    <w:rsid w:val="00BC6745"/>
    <w:rsid w:val="00BC697D"/>
    <w:rsid w:val="00BD1060"/>
    <w:rsid w:val="00BD49DA"/>
    <w:rsid w:val="00BD63AF"/>
    <w:rsid w:val="00BD6707"/>
    <w:rsid w:val="00BD7556"/>
    <w:rsid w:val="00BE152C"/>
    <w:rsid w:val="00BE2B99"/>
    <w:rsid w:val="00BE3543"/>
    <w:rsid w:val="00BE3D98"/>
    <w:rsid w:val="00BF2598"/>
    <w:rsid w:val="00BF2DF1"/>
    <w:rsid w:val="00BF4694"/>
    <w:rsid w:val="00BF647C"/>
    <w:rsid w:val="00BF67FA"/>
    <w:rsid w:val="00C017DC"/>
    <w:rsid w:val="00C03FBB"/>
    <w:rsid w:val="00C04A59"/>
    <w:rsid w:val="00C056AC"/>
    <w:rsid w:val="00C058D5"/>
    <w:rsid w:val="00C05F53"/>
    <w:rsid w:val="00C05F60"/>
    <w:rsid w:val="00C0725F"/>
    <w:rsid w:val="00C11ECD"/>
    <w:rsid w:val="00C12CE6"/>
    <w:rsid w:val="00C15194"/>
    <w:rsid w:val="00C15660"/>
    <w:rsid w:val="00C15A48"/>
    <w:rsid w:val="00C1639A"/>
    <w:rsid w:val="00C1649F"/>
    <w:rsid w:val="00C17F96"/>
    <w:rsid w:val="00C203BD"/>
    <w:rsid w:val="00C237B2"/>
    <w:rsid w:val="00C25487"/>
    <w:rsid w:val="00C25590"/>
    <w:rsid w:val="00C25606"/>
    <w:rsid w:val="00C25E2F"/>
    <w:rsid w:val="00C2721F"/>
    <w:rsid w:val="00C2747E"/>
    <w:rsid w:val="00C3081B"/>
    <w:rsid w:val="00C31B71"/>
    <w:rsid w:val="00C3321C"/>
    <w:rsid w:val="00C337FF"/>
    <w:rsid w:val="00C341F0"/>
    <w:rsid w:val="00C3662C"/>
    <w:rsid w:val="00C37A1B"/>
    <w:rsid w:val="00C42C3D"/>
    <w:rsid w:val="00C431BE"/>
    <w:rsid w:val="00C43714"/>
    <w:rsid w:val="00C44447"/>
    <w:rsid w:val="00C46751"/>
    <w:rsid w:val="00C46DEF"/>
    <w:rsid w:val="00C46E3E"/>
    <w:rsid w:val="00C46E81"/>
    <w:rsid w:val="00C4729C"/>
    <w:rsid w:val="00C50809"/>
    <w:rsid w:val="00C50ADB"/>
    <w:rsid w:val="00C51231"/>
    <w:rsid w:val="00C5182B"/>
    <w:rsid w:val="00C52D1C"/>
    <w:rsid w:val="00C54579"/>
    <w:rsid w:val="00C546A8"/>
    <w:rsid w:val="00C553D3"/>
    <w:rsid w:val="00C55F11"/>
    <w:rsid w:val="00C5660D"/>
    <w:rsid w:val="00C56F4F"/>
    <w:rsid w:val="00C5702B"/>
    <w:rsid w:val="00C617CE"/>
    <w:rsid w:val="00C63BAF"/>
    <w:rsid w:val="00C6453A"/>
    <w:rsid w:val="00C64F32"/>
    <w:rsid w:val="00C65420"/>
    <w:rsid w:val="00C67842"/>
    <w:rsid w:val="00C70768"/>
    <w:rsid w:val="00C72942"/>
    <w:rsid w:val="00C735D2"/>
    <w:rsid w:val="00C74837"/>
    <w:rsid w:val="00C75A00"/>
    <w:rsid w:val="00C7634D"/>
    <w:rsid w:val="00C763AE"/>
    <w:rsid w:val="00C80384"/>
    <w:rsid w:val="00C80B51"/>
    <w:rsid w:val="00C80D32"/>
    <w:rsid w:val="00C81023"/>
    <w:rsid w:val="00C8165F"/>
    <w:rsid w:val="00C822A5"/>
    <w:rsid w:val="00C82B76"/>
    <w:rsid w:val="00C82BF5"/>
    <w:rsid w:val="00C82FE8"/>
    <w:rsid w:val="00C840B4"/>
    <w:rsid w:val="00C8440B"/>
    <w:rsid w:val="00C84410"/>
    <w:rsid w:val="00C874CD"/>
    <w:rsid w:val="00C87C98"/>
    <w:rsid w:val="00C910C7"/>
    <w:rsid w:val="00C92FF1"/>
    <w:rsid w:val="00C93D56"/>
    <w:rsid w:val="00C958CC"/>
    <w:rsid w:val="00C96EB4"/>
    <w:rsid w:val="00C97908"/>
    <w:rsid w:val="00C97D5B"/>
    <w:rsid w:val="00CA2195"/>
    <w:rsid w:val="00CA243A"/>
    <w:rsid w:val="00CA5628"/>
    <w:rsid w:val="00CB464E"/>
    <w:rsid w:val="00CB5C91"/>
    <w:rsid w:val="00CB751D"/>
    <w:rsid w:val="00CB7521"/>
    <w:rsid w:val="00CB7A5C"/>
    <w:rsid w:val="00CC0096"/>
    <w:rsid w:val="00CC00BD"/>
    <w:rsid w:val="00CC2769"/>
    <w:rsid w:val="00CC5C79"/>
    <w:rsid w:val="00CC6328"/>
    <w:rsid w:val="00CC6C54"/>
    <w:rsid w:val="00CD05B2"/>
    <w:rsid w:val="00CD2A66"/>
    <w:rsid w:val="00CD2CCC"/>
    <w:rsid w:val="00CD3335"/>
    <w:rsid w:val="00CD3A07"/>
    <w:rsid w:val="00CD3CB9"/>
    <w:rsid w:val="00CD445F"/>
    <w:rsid w:val="00CD5AB3"/>
    <w:rsid w:val="00CD5E9F"/>
    <w:rsid w:val="00CD724D"/>
    <w:rsid w:val="00CE0E84"/>
    <w:rsid w:val="00CE1EFA"/>
    <w:rsid w:val="00CE1FF8"/>
    <w:rsid w:val="00CE3467"/>
    <w:rsid w:val="00CE39D5"/>
    <w:rsid w:val="00CE477F"/>
    <w:rsid w:val="00CE481B"/>
    <w:rsid w:val="00CE4A61"/>
    <w:rsid w:val="00CE562F"/>
    <w:rsid w:val="00CE5BBA"/>
    <w:rsid w:val="00CF0274"/>
    <w:rsid w:val="00CF05CC"/>
    <w:rsid w:val="00CF0D82"/>
    <w:rsid w:val="00CF0DF3"/>
    <w:rsid w:val="00CF1BF6"/>
    <w:rsid w:val="00CF2019"/>
    <w:rsid w:val="00CF2265"/>
    <w:rsid w:val="00CF2B28"/>
    <w:rsid w:val="00CF4A80"/>
    <w:rsid w:val="00CF4F27"/>
    <w:rsid w:val="00CF4F4B"/>
    <w:rsid w:val="00CF5EE0"/>
    <w:rsid w:val="00CF60D7"/>
    <w:rsid w:val="00CF769D"/>
    <w:rsid w:val="00CF7C01"/>
    <w:rsid w:val="00D00460"/>
    <w:rsid w:val="00D0134F"/>
    <w:rsid w:val="00D05922"/>
    <w:rsid w:val="00D0798D"/>
    <w:rsid w:val="00D10148"/>
    <w:rsid w:val="00D117E5"/>
    <w:rsid w:val="00D119FF"/>
    <w:rsid w:val="00D11B0F"/>
    <w:rsid w:val="00D1244E"/>
    <w:rsid w:val="00D129F2"/>
    <w:rsid w:val="00D13C72"/>
    <w:rsid w:val="00D14980"/>
    <w:rsid w:val="00D16EC3"/>
    <w:rsid w:val="00D17284"/>
    <w:rsid w:val="00D17736"/>
    <w:rsid w:val="00D21F8A"/>
    <w:rsid w:val="00D22547"/>
    <w:rsid w:val="00D2274A"/>
    <w:rsid w:val="00D255DA"/>
    <w:rsid w:val="00D26328"/>
    <w:rsid w:val="00D26737"/>
    <w:rsid w:val="00D268E2"/>
    <w:rsid w:val="00D26A32"/>
    <w:rsid w:val="00D26B71"/>
    <w:rsid w:val="00D26C42"/>
    <w:rsid w:val="00D26F61"/>
    <w:rsid w:val="00D27816"/>
    <w:rsid w:val="00D27A7A"/>
    <w:rsid w:val="00D27DCA"/>
    <w:rsid w:val="00D3598E"/>
    <w:rsid w:val="00D35FD8"/>
    <w:rsid w:val="00D40DA5"/>
    <w:rsid w:val="00D44466"/>
    <w:rsid w:val="00D44935"/>
    <w:rsid w:val="00D44DCE"/>
    <w:rsid w:val="00D466E4"/>
    <w:rsid w:val="00D4721E"/>
    <w:rsid w:val="00D47E6B"/>
    <w:rsid w:val="00D50DCD"/>
    <w:rsid w:val="00D511F6"/>
    <w:rsid w:val="00D512B1"/>
    <w:rsid w:val="00D5313C"/>
    <w:rsid w:val="00D54BEB"/>
    <w:rsid w:val="00D56361"/>
    <w:rsid w:val="00D604CA"/>
    <w:rsid w:val="00D610BD"/>
    <w:rsid w:val="00D6268F"/>
    <w:rsid w:val="00D62ED8"/>
    <w:rsid w:val="00D62FF7"/>
    <w:rsid w:val="00D6408E"/>
    <w:rsid w:val="00D64124"/>
    <w:rsid w:val="00D64409"/>
    <w:rsid w:val="00D73261"/>
    <w:rsid w:val="00D75BB4"/>
    <w:rsid w:val="00D7734F"/>
    <w:rsid w:val="00D8048C"/>
    <w:rsid w:val="00D832A1"/>
    <w:rsid w:val="00D840C7"/>
    <w:rsid w:val="00D84CE0"/>
    <w:rsid w:val="00D84EC7"/>
    <w:rsid w:val="00D86E1B"/>
    <w:rsid w:val="00D86FA6"/>
    <w:rsid w:val="00D87CC2"/>
    <w:rsid w:val="00D90C5C"/>
    <w:rsid w:val="00D9203B"/>
    <w:rsid w:val="00D920B6"/>
    <w:rsid w:val="00D92470"/>
    <w:rsid w:val="00D92F26"/>
    <w:rsid w:val="00D93151"/>
    <w:rsid w:val="00D93DFB"/>
    <w:rsid w:val="00D945AC"/>
    <w:rsid w:val="00D9541A"/>
    <w:rsid w:val="00D97EAF"/>
    <w:rsid w:val="00DA05BE"/>
    <w:rsid w:val="00DA0895"/>
    <w:rsid w:val="00DA253C"/>
    <w:rsid w:val="00DA3819"/>
    <w:rsid w:val="00DA49BD"/>
    <w:rsid w:val="00DA5874"/>
    <w:rsid w:val="00DA590C"/>
    <w:rsid w:val="00DA614D"/>
    <w:rsid w:val="00DA6452"/>
    <w:rsid w:val="00DA6F32"/>
    <w:rsid w:val="00DA73F6"/>
    <w:rsid w:val="00DA772D"/>
    <w:rsid w:val="00DB2C93"/>
    <w:rsid w:val="00DB4772"/>
    <w:rsid w:val="00DB47B5"/>
    <w:rsid w:val="00DB504D"/>
    <w:rsid w:val="00DB5634"/>
    <w:rsid w:val="00DB56A2"/>
    <w:rsid w:val="00DB7301"/>
    <w:rsid w:val="00DB7809"/>
    <w:rsid w:val="00DB7A50"/>
    <w:rsid w:val="00DC2167"/>
    <w:rsid w:val="00DC23D4"/>
    <w:rsid w:val="00DC679D"/>
    <w:rsid w:val="00DC7D39"/>
    <w:rsid w:val="00DC7EE2"/>
    <w:rsid w:val="00DD0850"/>
    <w:rsid w:val="00DD163B"/>
    <w:rsid w:val="00DD227F"/>
    <w:rsid w:val="00DD3916"/>
    <w:rsid w:val="00DD432F"/>
    <w:rsid w:val="00DD51C0"/>
    <w:rsid w:val="00DD5A11"/>
    <w:rsid w:val="00DD5DDE"/>
    <w:rsid w:val="00DE0819"/>
    <w:rsid w:val="00DE09F6"/>
    <w:rsid w:val="00DE108A"/>
    <w:rsid w:val="00DE16FA"/>
    <w:rsid w:val="00DE1BB1"/>
    <w:rsid w:val="00DE1C08"/>
    <w:rsid w:val="00DE23E5"/>
    <w:rsid w:val="00DE2AC7"/>
    <w:rsid w:val="00DE33CA"/>
    <w:rsid w:val="00DE3B55"/>
    <w:rsid w:val="00DE45B8"/>
    <w:rsid w:val="00DE4CC0"/>
    <w:rsid w:val="00DE5371"/>
    <w:rsid w:val="00DE5608"/>
    <w:rsid w:val="00DF07C7"/>
    <w:rsid w:val="00DF1B9B"/>
    <w:rsid w:val="00DF1F60"/>
    <w:rsid w:val="00DF3080"/>
    <w:rsid w:val="00DF403E"/>
    <w:rsid w:val="00DF485D"/>
    <w:rsid w:val="00DF4DA4"/>
    <w:rsid w:val="00DF52F9"/>
    <w:rsid w:val="00DF5B6D"/>
    <w:rsid w:val="00DF5C3A"/>
    <w:rsid w:val="00DF6C95"/>
    <w:rsid w:val="00DF72CF"/>
    <w:rsid w:val="00E024F2"/>
    <w:rsid w:val="00E03A53"/>
    <w:rsid w:val="00E05F8A"/>
    <w:rsid w:val="00E105E5"/>
    <w:rsid w:val="00E10EE1"/>
    <w:rsid w:val="00E12C98"/>
    <w:rsid w:val="00E12CF3"/>
    <w:rsid w:val="00E12E12"/>
    <w:rsid w:val="00E132A5"/>
    <w:rsid w:val="00E13B62"/>
    <w:rsid w:val="00E1605A"/>
    <w:rsid w:val="00E161F4"/>
    <w:rsid w:val="00E1636A"/>
    <w:rsid w:val="00E1646B"/>
    <w:rsid w:val="00E16989"/>
    <w:rsid w:val="00E176C8"/>
    <w:rsid w:val="00E17AFB"/>
    <w:rsid w:val="00E17E1B"/>
    <w:rsid w:val="00E20895"/>
    <w:rsid w:val="00E20E0B"/>
    <w:rsid w:val="00E21565"/>
    <w:rsid w:val="00E228AF"/>
    <w:rsid w:val="00E23D9F"/>
    <w:rsid w:val="00E25574"/>
    <w:rsid w:val="00E27ADD"/>
    <w:rsid w:val="00E3050C"/>
    <w:rsid w:val="00E310F9"/>
    <w:rsid w:val="00E3194D"/>
    <w:rsid w:val="00E31CCC"/>
    <w:rsid w:val="00E32AAB"/>
    <w:rsid w:val="00E40D19"/>
    <w:rsid w:val="00E41CD1"/>
    <w:rsid w:val="00E42370"/>
    <w:rsid w:val="00E429F0"/>
    <w:rsid w:val="00E43038"/>
    <w:rsid w:val="00E44322"/>
    <w:rsid w:val="00E45374"/>
    <w:rsid w:val="00E46F78"/>
    <w:rsid w:val="00E47833"/>
    <w:rsid w:val="00E50663"/>
    <w:rsid w:val="00E50B20"/>
    <w:rsid w:val="00E51FE9"/>
    <w:rsid w:val="00E52110"/>
    <w:rsid w:val="00E54B3E"/>
    <w:rsid w:val="00E55A8C"/>
    <w:rsid w:val="00E60A6C"/>
    <w:rsid w:val="00E62A20"/>
    <w:rsid w:val="00E62DED"/>
    <w:rsid w:val="00E636CA"/>
    <w:rsid w:val="00E63ADB"/>
    <w:rsid w:val="00E65329"/>
    <w:rsid w:val="00E65B65"/>
    <w:rsid w:val="00E6744A"/>
    <w:rsid w:val="00E70906"/>
    <w:rsid w:val="00E71A1A"/>
    <w:rsid w:val="00E71CF8"/>
    <w:rsid w:val="00E74878"/>
    <w:rsid w:val="00E74931"/>
    <w:rsid w:val="00E7508E"/>
    <w:rsid w:val="00E75371"/>
    <w:rsid w:val="00E7643B"/>
    <w:rsid w:val="00E774A6"/>
    <w:rsid w:val="00E81034"/>
    <w:rsid w:val="00E81CB8"/>
    <w:rsid w:val="00E8201C"/>
    <w:rsid w:val="00E83B67"/>
    <w:rsid w:val="00E84069"/>
    <w:rsid w:val="00E85053"/>
    <w:rsid w:val="00E8557B"/>
    <w:rsid w:val="00E908C5"/>
    <w:rsid w:val="00E909D7"/>
    <w:rsid w:val="00E9347E"/>
    <w:rsid w:val="00E936DC"/>
    <w:rsid w:val="00E9449A"/>
    <w:rsid w:val="00E95D51"/>
    <w:rsid w:val="00E96D3A"/>
    <w:rsid w:val="00E97A8C"/>
    <w:rsid w:val="00EA04E5"/>
    <w:rsid w:val="00EA052E"/>
    <w:rsid w:val="00EA108C"/>
    <w:rsid w:val="00EA4365"/>
    <w:rsid w:val="00EA4EE8"/>
    <w:rsid w:val="00EA55A2"/>
    <w:rsid w:val="00EA56E4"/>
    <w:rsid w:val="00EA5E23"/>
    <w:rsid w:val="00EB102A"/>
    <w:rsid w:val="00EB1DBB"/>
    <w:rsid w:val="00EB258B"/>
    <w:rsid w:val="00EB2AC9"/>
    <w:rsid w:val="00EB4906"/>
    <w:rsid w:val="00EC01B1"/>
    <w:rsid w:val="00EC3876"/>
    <w:rsid w:val="00EC3FC2"/>
    <w:rsid w:val="00EC4237"/>
    <w:rsid w:val="00EC4943"/>
    <w:rsid w:val="00EC4A45"/>
    <w:rsid w:val="00EC5A4C"/>
    <w:rsid w:val="00EC643D"/>
    <w:rsid w:val="00EC65CF"/>
    <w:rsid w:val="00EC6742"/>
    <w:rsid w:val="00ED0D79"/>
    <w:rsid w:val="00ED2C37"/>
    <w:rsid w:val="00ED303C"/>
    <w:rsid w:val="00ED38E0"/>
    <w:rsid w:val="00ED3A78"/>
    <w:rsid w:val="00ED4F3A"/>
    <w:rsid w:val="00ED5677"/>
    <w:rsid w:val="00ED57E7"/>
    <w:rsid w:val="00ED5BEA"/>
    <w:rsid w:val="00ED5EE4"/>
    <w:rsid w:val="00ED7F74"/>
    <w:rsid w:val="00EE1082"/>
    <w:rsid w:val="00EE10DC"/>
    <w:rsid w:val="00EE11FE"/>
    <w:rsid w:val="00EE3209"/>
    <w:rsid w:val="00EE355D"/>
    <w:rsid w:val="00EE5BB4"/>
    <w:rsid w:val="00EE5EF2"/>
    <w:rsid w:val="00EE7C99"/>
    <w:rsid w:val="00EF0BC3"/>
    <w:rsid w:val="00EF1E14"/>
    <w:rsid w:val="00EF1F27"/>
    <w:rsid w:val="00EF38D9"/>
    <w:rsid w:val="00EF3BDF"/>
    <w:rsid w:val="00EF41F4"/>
    <w:rsid w:val="00F02065"/>
    <w:rsid w:val="00F0336F"/>
    <w:rsid w:val="00F0396B"/>
    <w:rsid w:val="00F03AFC"/>
    <w:rsid w:val="00F06E85"/>
    <w:rsid w:val="00F07D4C"/>
    <w:rsid w:val="00F10B2B"/>
    <w:rsid w:val="00F114ED"/>
    <w:rsid w:val="00F11554"/>
    <w:rsid w:val="00F116B5"/>
    <w:rsid w:val="00F11F98"/>
    <w:rsid w:val="00F12122"/>
    <w:rsid w:val="00F12627"/>
    <w:rsid w:val="00F1359F"/>
    <w:rsid w:val="00F140CD"/>
    <w:rsid w:val="00F14D57"/>
    <w:rsid w:val="00F15A51"/>
    <w:rsid w:val="00F1679F"/>
    <w:rsid w:val="00F167CF"/>
    <w:rsid w:val="00F17CF4"/>
    <w:rsid w:val="00F17D95"/>
    <w:rsid w:val="00F202A6"/>
    <w:rsid w:val="00F235FB"/>
    <w:rsid w:val="00F23BB6"/>
    <w:rsid w:val="00F241A8"/>
    <w:rsid w:val="00F276A6"/>
    <w:rsid w:val="00F300D0"/>
    <w:rsid w:val="00F3145D"/>
    <w:rsid w:val="00F371BD"/>
    <w:rsid w:val="00F37CA4"/>
    <w:rsid w:val="00F437E6"/>
    <w:rsid w:val="00F4560E"/>
    <w:rsid w:val="00F466E2"/>
    <w:rsid w:val="00F51BF2"/>
    <w:rsid w:val="00F5403A"/>
    <w:rsid w:val="00F5462B"/>
    <w:rsid w:val="00F54BED"/>
    <w:rsid w:val="00F55FEB"/>
    <w:rsid w:val="00F56741"/>
    <w:rsid w:val="00F56778"/>
    <w:rsid w:val="00F56ED5"/>
    <w:rsid w:val="00F60300"/>
    <w:rsid w:val="00F6100A"/>
    <w:rsid w:val="00F6291E"/>
    <w:rsid w:val="00F63AE8"/>
    <w:rsid w:val="00F64856"/>
    <w:rsid w:val="00F64B36"/>
    <w:rsid w:val="00F65D2C"/>
    <w:rsid w:val="00F65DBA"/>
    <w:rsid w:val="00F660AB"/>
    <w:rsid w:val="00F666F4"/>
    <w:rsid w:val="00F668ED"/>
    <w:rsid w:val="00F66D84"/>
    <w:rsid w:val="00F674AE"/>
    <w:rsid w:val="00F675B1"/>
    <w:rsid w:val="00F67B9A"/>
    <w:rsid w:val="00F71B1F"/>
    <w:rsid w:val="00F725B9"/>
    <w:rsid w:val="00F72978"/>
    <w:rsid w:val="00F73173"/>
    <w:rsid w:val="00F732E2"/>
    <w:rsid w:val="00F757DB"/>
    <w:rsid w:val="00F76325"/>
    <w:rsid w:val="00F76B3E"/>
    <w:rsid w:val="00F81132"/>
    <w:rsid w:val="00F825EF"/>
    <w:rsid w:val="00F8357F"/>
    <w:rsid w:val="00F84198"/>
    <w:rsid w:val="00F85DC7"/>
    <w:rsid w:val="00F9089D"/>
    <w:rsid w:val="00F910FB"/>
    <w:rsid w:val="00F923C8"/>
    <w:rsid w:val="00F92BD7"/>
    <w:rsid w:val="00F937D4"/>
    <w:rsid w:val="00F93F46"/>
    <w:rsid w:val="00F9447F"/>
    <w:rsid w:val="00FA0707"/>
    <w:rsid w:val="00FA0E83"/>
    <w:rsid w:val="00FA220B"/>
    <w:rsid w:val="00FA373E"/>
    <w:rsid w:val="00FA5EBF"/>
    <w:rsid w:val="00FA6554"/>
    <w:rsid w:val="00FA6853"/>
    <w:rsid w:val="00FA7CBE"/>
    <w:rsid w:val="00FB167C"/>
    <w:rsid w:val="00FB1A31"/>
    <w:rsid w:val="00FB43BF"/>
    <w:rsid w:val="00FB4499"/>
    <w:rsid w:val="00FB62AF"/>
    <w:rsid w:val="00FC0EA5"/>
    <w:rsid w:val="00FC1C92"/>
    <w:rsid w:val="00FC1DB2"/>
    <w:rsid w:val="00FC32EE"/>
    <w:rsid w:val="00FC65AC"/>
    <w:rsid w:val="00FD0D23"/>
    <w:rsid w:val="00FD1A70"/>
    <w:rsid w:val="00FD2D4A"/>
    <w:rsid w:val="00FD364B"/>
    <w:rsid w:val="00FD73D0"/>
    <w:rsid w:val="00FE0125"/>
    <w:rsid w:val="00FE1FC4"/>
    <w:rsid w:val="00FE4566"/>
    <w:rsid w:val="00FE5653"/>
    <w:rsid w:val="00FE5E71"/>
    <w:rsid w:val="00FE6B9D"/>
    <w:rsid w:val="00FE73B8"/>
    <w:rsid w:val="00FE7B4B"/>
    <w:rsid w:val="00FF0C24"/>
    <w:rsid w:val="00FF110A"/>
    <w:rsid w:val="00FF250B"/>
    <w:rsid w:val="00FF3119"/>
    <w:rsid w:val="00FF60F5"/>
    <w:rsid w:val="00FF6494"/>
    <w:rsid w:val="00FF6B13"/>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2758C4-63B0-44B4-A6D6-A869CDBE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h11,h12,h13,h14,h15,h16,h17,h111,h121,h131,h141,h151,h161,h18,h112,h122,h132,h142,h152,h162,h19,h113,h123,h133,h143,h153,h163,app heading 1,l1,Memo Heading 1,Heading 1_a,NMP Heading 1,1,Section of paper"/>
    <w:basedOn w:val="a"/>
    <w:next w:val="a0"/>
    <w:qFormat/>
    <w:rsid w:val="009C1D1E"/>
    <w:pPr>
      <w:keepNext/>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spacing w:before="120" w:after="120"/>
      <w:ind w:right="284"/>
      <w:outlineLvl w:val="1"/>
    </w:pPr>
    <w:rPr>
      <w:rFonts w:ascii="Arial" w:hAnsi="Arial"/>
      <w:b/>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0"/>
    <w:link w:val="3Char"/>
    <w:autoRedefine/>
    <w:qFormat/>
    <w:rsid w:val="00174101"/>
    <w:pPr>
      <w:keepNext/>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aliases w:val="Figure Heading,FH"/>
    <w:basedOn w:val="a"/>
    <w:next w:val="a"/>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rsid w:val="0009531F"/>
    <w:pPr>
      <w:keepNext/>
      <w:keepLines/>
      <w:jc w:val="center"/>
    </w:pPr>
    <w:rPr>
      <w:rFonts w:ascii="Arial" w:hAnsi="Arial"/>
      <w:sz w:val="18"/>
    </w:rPr>
  </w:style>
  <w:style w:type="character" w:customStyle="1" w:styleId="TACChar">
    <w:name w:val="TAC Char"/>
    <w:link w:val="TAC"/>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basedOn w:val="a"/>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1"/>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3"/>
      </w:numPr>
      <w:pBdr>
        <w:top w:val="single" w:sz="12" w:space="3" w:color="auto"/>
      </w:pBdr>
      <w:spacing w:after="180"/>
      <w:ind w:right="0"/>
    </w:pPr>
    <w:rPr>
      <w:rFonts w:eastAsia="SimSun"/>
      <w:b w:val="0"/>
      <w:color w:val="0000FF"/>
      <w:kern w:val="2"/>
      <w:sz w:val="36"/>
    </w:rPr>
  </w:style>
  <w:style w:type="paragraph" w:customStyle="1" w:styleId="Reference">
    <w:name w:val="Reference"/>
    <w:basedOn w:val="a"/>
    <w:rsid w:val="00137C10"/>
    <w:pPr>
      <w:keepLines/>
      <w:numPr>
        <w:ilvl w:val="1"/>
        <w:numId w:val="4"/>
      </w:numPr>
      <w:spacing w:after="180"/>
    </w:pPr>
    <w:rPr>
      <w:rFonts w:eastAsia="MS Mincho"/>
    </w:rPr>
  </w:style>
  <w:style w:type="character" w:customStyle="1" w:styleId="Char1">
    <w:name w:val="본문 Char"/>
    <w:link w:val="a0"/>
    <w:rsid w:val="00880A9C"/>
    <w:rPr>
      <w:lang w:val="en-GB" w:eastAsia="en-US"/>
    </w:rPr>
  </w:style>
  <w:style w:type="paragraph" w:styleId="af4">
    <w:name w:val="annotation subject"/>
    <w:basedOn w:val="a6"/>
    <w:next w:val="a6"/>
    <w:link w:val="Char5"/>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link w:val="a6"/>
    <w:semiHidden/>
    <w:rsid w:val="00A8176F"/>
    <w:rPr>
      <w:rFonts w:ascii="Arial" w:hAnsi="Arial"/>
      <w:lang w:val="en-GB" w:eastAsia="en-US"/>
    </w:rPr>
  </w:style>
  <w:style w:type="character" w:customStyle="1" w:styleId="Char5">
    <w:name w:val="메모 주제 Char"/>
    <w:link w:val="af4"/>
    <w:rsid w:val="00A8176F"/>
    <w:rPr>
      <w:rFonts w:ascii="Arial" w:hAnsi="Arial"/>
      <w:b/>
      <w:bCs/>
      <w:lang w:val="en-GB" w:eastAsia="en-US"/>
    </w:rPr>
  </w:style>
  <w:style w:type="paragraph" w:customStyle="1" w:styleId="-">
    <w:name w:val="기고리뷰 - 섹션"/>
    <w:basedOn w:val="a"/>
    <w:rsid w:val="002536A3"/>
    <w:pPr>
      <w:numPr>
        <w:numId w:val="5"/>
      </w:numPr>
    </w:pPr>
  </w:style>
  <w:style w:type="character" w:styleId="af5">
    <w:name w:val="Strong"/>
    <w:qFormat/>
    <w:rsid w:val="00586932"/>
    <w:rPr>
      <w:b/>
      <w:bC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맑은 고딕" w:hAnsi="Arial"/>
      <w:sz w:val="18"/>
      <w:szCs w:val="18"/>
      <w:lang w:val="en-GB" w:eastAsia="x-none"/>
    </w:rPr>
  </w:style>
  <w:style w:type="paragraph" w:customStyle="1" w:styleId="PL">
    <w:name w:val="PL"/>
    <w:link w:val="PLChar"/>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C203BD"/>
    <w:rPr>
      <w:rFonts w:ascii="Courier New" w:eastAsia="맑은 고딕" w:hAnsi="Courier New"/>
      <w:noProof/>
      <w:sz w:val="16"/>
      <w:lang w:val="en-GB"/>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B97031"/>
    <w:rPr>
      <w:rFonts w:ascii="Arial" w:hAnsi="Arial"/>
      <w:sz w:val="24"/>
      <w:lang w:val="en-GB" w:eastAsia="en-US"/>
    </w:rPr>
  </w:style>
  <w:style w:type="character" w:styleId="af6">
    <w:name w:val="Placeholder Text"/>
    <w:basedOn w:val="a1"/>
    <w:uiPriority w:val="99"/>
    <w:semiHidden/>
    <w:rsid w:val="00A241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139538">
      <w:bodyDiv w:val="1"/>
      <w:marLeft w:val="0"/>
      <w:marRight w:val="0"/>
      <w:marTop w:val="0"/>
      <w:marBottom w:val="0"/>
      <w:divBdr>
        <w:top w:val="none" w:sz="0" w:space="0" w:color="auto"/>
        <w:left w:val="none" w:sz="0" w:space="0" w:color="auto"/>
        <w:bottom w:val="none" w:sz="0" w:space="0" w:color="auto"/>
        <w:right w:val="none" w:sz="0" w:space="0" w:color="auto"/>
      </w:divBdr>
      <w:divsChild>
        <w:div w:id="654726312">
          <w:marLeft w:val="1080"/>
          <w:marRight w:val="0"/>
          <w:marTop w:val="100"/>
          <w:marBottom w:val="0"/>
          <w:divBdr>
            <w:top w:val="none" w:sz="0" w:space="0" w:color="auto"/>
            <w:left w:val="none" w:sz="0" w:space="0" w:color="auto"/>
            <w:bottom w:val="none" w:sz="0" w:space="0" w:color="auto"/>
            <w:right w:val="none" w:sz="0" w:space="0" w:color="auto"/>
          </w:divBdr>
        </w:div>
        <w:div w:id="1728214525">
          <w:marLeft w:val="1800"/>
          <w:marRight w:val="0"/>
          <w:marTop w:val="100"/>
          <w:marBottom w:val="0"/>
          <w:divBdr>
            <w:top w:val="none" w:sz="0" w:space="0" w:color="auto"/>
            <w:left w:val="none" w:sz="0" w:space="0" w:color="auto"/>
            <w:bottom w:val="none" w:sz="0" w:space="0" w:color="auto"/>
            <w:right w:val="none" w:sz="0" w:space="0" w:color="auto"/>
          </w:divBdr>
        </w:div>
      </w:divsChild>
    </w:div>
    <w:div w:id="227881622">
      <w:bodyDiv w:val="1"/>
      <w:marLeft w:val="0"/>
      <w:marRight w:val="0"/>
      <w:marTop w:val="0"/>
      <w:marBottom w:val="0"/>
      <w:divBdr>
        <w:top w:val="none" w:sz="0" w:space="0" w:color="auto"/>
        <w:left w:val="none" w:sz="0" w:space="0" w:color="auto"/>
        <w:bottom w:val="none" w:sz="0" w:space="0" w:color="auto"/>
        <w:right w:val="none" w:sz="0" w:space="0" w:color="auto"/>
      </w:divBdr>
      <w:divsChild>
        <w:div w:id="851069884">
          <w:marLeft w:val="360"/>
          <w:marRight w:val="0"/>
          <w:marTop w:val="200"/>
          <w:marBottom w:val="0"/>
          <w:divBdr>
            <w:top w:val="none" w:sz="0" w:space="0" w:color="auto"/>
            <w:left w:val="none" w:sz="0" w:space="0" w:color="auto"/>
            <w:bottom w:val="none" w:sz="0" w:space="0" w:color="auto"/>
            <w:right w:val="none" w:sz="0" w:space="0" w:color="auto"/>
          </w:divBdr>
        </w:div>
      </w:divsChild>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1717051">
      <w:bodyDiv w:val="1"/>
      <w:marLeft w:val="0"/>
      <w:marRight w:val="0"/>
      <w:marTop w:val="0"/>
      <w:marBottom w:val="0"/>
      <w:divBdr>
        <w:top w:val="none" w:sz="0" w:space="0" w:color="auto"/>
        <w:left w:val="none" w:sz="0" w:space="0" w:color="auto"/>
        <w:bottom w:val="none" w:sz="0" w:space="0" w:color="auto"/>
        <w:right w:val="none" w:sz="0" w:space="0" w:color="auto"/>
      </w:divBdr>
      <w:divsChild>
        <w:div w:id="927885510">
          <w:marLeft w:val="1080"/>
          <w:marRight w:val="0"/>
          <w:marTop w:val="10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4312779">
      <w:bodyDiv w:val="1"/>
      <w:marLeft w:val="0"/>
      <w:marRight w:val="0"/>
      <w:marTop w:val="0"/>
      <w:marBottom w:val="0"/>
      <w:divBdr>
        <w:top w:val="none" w:sz="0" w:space="0" w:color="auto"/>
        <w:left w:val="none" w:sz="0" w:space="0" w:color="auto"/>
        <w:bottom w:val="none" w:sz="0" w:space="0" w:color="auto"/>
        <w:right w:val="none" w:sz="0" w:space="0" w:color="auto"/>
      </w:divBdr>
      <w:divsChild>
        <w:div w:id="64299198">
          <w:marLeft w:val="1080"/>
          <w:marRight w:val="0"/>
          <w:marTop w:val="100"/>
          <w:marBottom w:val="0"/>
          <w:divBdr>
            <w:top w:val="none" w:sz="0" w:space="0" w:color="auto"/>
            <w:left w:val="none" w:sz="0" w:space="0" w:color="auto"/>
            <w:bottom w:val="none" w:sz="0" w:space="0" w:color="auto"/>
            <w:right w:val="none" w:sz="0" w:space="0" w:color="auto"/>
          </w:divBdr>
        </w:div>
        <w:div w:id="620498622">
          <w:marLeft w:val="1080"/>
          <w:marRight w:val="0"/>
          <w:marTop w:val="100"/>
          <w:marBottom w:val="0"/>
          <w:divBdr>
            <w:top w:val="none" w:sz="0" w:space="0" w:color="auto"/>
            <w:left w:val="none" w:sz="0" w:space="0" w:color="auto"/>
            <w:bottom w:val="none" w:sz="0" w:space="0" w:color="auto"/>
            <w:right w:val="none" w:sz="0" w:space="0" w:color="auto"/>
          </w:divBdr>
        </w:div>
        <w:div w:id="1973168235">
          <w:marLeft w:val="1080"/>
          <w:marRight w:val="0"/>
          <w:marTop w:val="100"/>
          <w:marBottom w:val="0"/>
          <w:divBdr>
            <w:top w:val="none" w:sz="0" w:space="0" w:color="auto"/>
            <w:left w:val="none" w:sz="0" w:space="0" w:color="auto"/>
            <w:bottom w:val="none" w:sz="0" w:space="0" w:color="auto"/>
            <w:right w:val="none" w:sz="0" w:space="0" w:color="auto"/>
          </w:divBdr>
        </w:div>
      </w:divsChild>
    </w:div>
    <w:div w:id="629942164">
      <w:bodyDiv w:val="1"/>
      <w:marLeft w:val="0"/>
      <w:marRight w:val="0"/>
      <w:marTop w:val="0"/>
      <w:marBottom w:val="0"/>
      <w:divBdr>
        <w:top w:val="none" w:sz="0" w:space="0" w:color="auto"/>
        <w:left w:val="none" w:sz="0" w:space="0" w:color="auto"/>
        <w:bottom w:val="none" w:sz="0" w:space="0" w:color="auto"/>
        <w:right w:val="none" w:sz="0" w:space="0" w:color="auto"/>
      </w:divBdr>
      <w:divsChild>
        <w:div w:id="1234007199">
          <w:marLeft w:val="360"/>
          <w:marRight w:val="0"/>
          <w:marTop w:val="120"/>
          <w:marBottom w:val="120"/>
          <w:divBdr>
            <w:top w:val="none" w:sz="0" w:space="0" w:color="auto"/>
            <w:left w:val="none" w:sz="0" w:space="0" w:color="auto"/>
            <w:bottom w:val="none" w:sz="0" w:space="0" w:color="auto"/>
            <w:right w:val="none" w:sz="0" w:space="0" w:color="auto"/>
          </w:divBdr>
        </w:div>
        <w:div w:id="975640976">
          <w:marLeft w:val="1080"/>
          <w:marRight w:val="0"/>
          <w:marTop w:val="120"/>
          <w:marBottom w:val="120"/>
          <w:divBdr>
            <w:top w:val="none" w:sz="0" w:space="0" w:color="auto"/>
            <w:left w:val="none" w:sz="0" w:space="0" w:color="auto"/>
            <w:bottom w:val="none" w:sz="0" w:space="0" w:color="auto"/>
            <w:right w:val="none" w:sz="0" w:space="0" w:color="auto"/>
          </w:divBdr>
        </w:div>
        <w:div w:id="975060430">
          <w:marLeft w:val="1800"/>
          <w:marRight w:val="0"/>
          <w:marTop w:val="120"/>
          <w:marBottom w:val="120"/>
          <w:divBdr>
            <w:top w:val="none" w:sz="0" w:space="0" w:color="auto"/>
            <w:left w:val="none" w:sz="0" w:space="0" w:color="auto"/>
            <w:bottom w:val="none" w:sz="0" w:space="0" w:color="auto"/>
            <w:right w:val="none" w:sz="0" w:space="0" w:color="auto"/>
          </w:divBdr>
        </w:div>
        <w:div w:id="567688037">
          <w:marLeft w:val="1080"/>
          <w:marRight w:val="0"/>
          <w:marTop w:val="120"/>
          <w:marBottom w:val="120"/>
          <w:divBdr>
            <w:top w:val="none" w:sz="0" w:space="0" w:color="auto"/>
            <w:left w:val="none" w:sz="0" w:space="0" w:color="auto"/>
            <w:bottom w:val="none" w:sz="0" w:space="0" w:color="auto"/>
            <w:right w:val="none" w:sz="0" w:space="0" w:color="auto"/>
          </w:divBdr>
        </w:div>
      </w:divsChild>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6269858">
      <w:bodyDiv w:val="1"/>
      <w:marLeft w:val="0"/>
      <w:marRight w:val="0"/>
      <w:marTop w:val="0"/>
      <w:marBottom w:val="0"/>
      <w:divBdr>
        <w:top w:val="none" w:sz="0" w:space="0" w:color="auto"/>
        <w:left w:val="none" w:sz="0" w:space="0" w:color="auto"/>
        <w:bottom w:val="none" w:sz="0" w:space="0" w:color="auto"/>
        <w:right w:val="none" w:sz="0" w:space="0" w:color="auto"/>
      </w:divBdr>
      <w:divsChild>
        <w:div w:id="88696754">
          <w:marLeft w:val="1080"/>
          <w:marRight w:val="0"/>
          <w:marTop w:val="1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923225767">
      <w:bodyDiv w:val="1"/>
      <w:marLeft w:val="0"/>
      <w:marRight w:val="0"/>
      <w:marTop w:val="0"/>
      <w:marBottom w:val="0"/>
      <w:divBdr>
        <w:top w:val="none" w:sz="0" w:space="0" w:color="auto"/>
        <w:left w:val="none" w:sz="0" w:space="0" w:color="auto"/>
        <w:bottom w:val="none" w:sz="0" w:space="0" w:color="auto"/>
        <w:right w:val="none" w:sz="0" w:space="0" w:color="auto"/>
      </w:divBdr>
      <w:divsChild>
        <w:div w:id="1544635114">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8048516">
      <w:bodyDiv w:val="1"/>
      <w:marLeft w:val="0"/>
      <w:marRight w:val="0"/>
      <w:marTop w:val="0"/>
      <w:marBottom w:val="0"/>
      <w:divBdr>
        <w:top w:val="none" w:sz="0" w:space="0" w:color="auto"/>
        <w:left w:val="none" w:sz="0" w:space="0" w:color="auto"/>
        <w:bottom w:val="none" w:sz="0" w:space="0" w:color="auto"/>
        <w:right w:val="none" w:sz="0" w:space="0" w:color="auto"/>
      </w:divBdr>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91071198">
      <w:bodyDiv w:val="1"/>
      <w:marLeft w:val="0"/>
      <w:marRight w:val="0"/>
      <w:marTop w:val="0"/>
      <w:marBottom w:val="0"/>
      <w:divBdr>
        <w:top w:val="none" w:sz="0" w:space="0" w:color="auto"/>
        <w:left w:val="none" w:sz="0" w:space="0" w:color="auto"/>
        <w:bottom w:val="none" w:sz="0" w:space="0" w:color="auto"/>
        <w:right w:val="none" w:sz="0" w:space="0" w:color="auto"/>
      </w:divBdr>
      <w:divsChild>
        <w:div w:id="215043322">
          <w:marLeft w:val="1080"/>
          <w:marRight w:val="0"/>
          <w:marTop w:val="100"/>
          <w:marBottom w:val="0"/>
          <w:divBdr>
            <w:top w:val="none" w:sz="0" w:space="0" w:color="auto"/>
            <w:left w:val="none" w:sz="0" w:space="0" w:color="auto"/>
            <w:bottom w:val="none" w:sz="0" w:space="0" w:color="auto"/>
            <w:right w:val="none" w:sz="0" w:space="0" w:color="auto"/>
          </w:divBdr>
        </w:div>
        <w:div w:id="2121409681">
          <w:marLeft w:val="1800"/>
          <w:marRight w:val="0"/>
          <w:marTop w:val="100"/>
          <w:marBottom w:val="0"/>
          <w:divBdr>
            <w:top w:val="none" w:sz="0" w:space="0" w:color="auto"/>
            <w:left w:val="none" w:sz="0" w:space="0" w:color="auto"/>
            <w:bottom w:val="none" w:sz="0" w:space="0" w:color="auto"/>
            <w:right w:val="none" w:sz="0" w:space="0" w:color="auto"/>
          </w:divBdr>
        </w:div>
        <w:div w:id="980117323">
          <w:marLeft w:val="1080"/>
          <w:marRight w:val="0"/>
          <w:marTop w:val="100"/>
          <w:marBottom w:val="0"/>
          <w:divBdr>
            <w:top w:val="none" w:sz="0" w:space="0" w:color="auto"/>
            <w:left w:val="none" w:sz="0" w:space="0" w:color="auto"/>
            <w:bottom w:val="none" w:sz="0" w:space="0" w:color="auto"/>
            <w:right w:val="none" w:sz="0" w:space="0" w:color="auto"/>
          </w:divBdr>
        </w:div>
        <w:div w:id="1107697915">
          <w:marLeft w:val="1800"/>
          <w:marRight w:val="0"/>
          <w:marTop w:val="100"/>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73187085">
      <w:bodyDiv w:val="1"/>
      <w:marLeft w:val="0"/>
      <w:marRight w:val="0"/>
      <w:marTop w:val="0"/>
      <w:marBottom w:val="0"/>
      <w:divBdr>
        <w:top w:val="none" w:sz="0" w:space="0" w:color="auto"/>
        <w:left w:val="none" w:sz="0" w:space="0" w:color="auto"/>
        <w:bottom w:val="none" w:sz="0" w:space="0" w:color="auto"/>
        <w:right w:val="none" w:sz="0" w:space="0" w:color="auto"/>
      </w:divBdr>
      <w:divsChild>
        <w:div w:id="131556488">
          <w:marLeft w:val="360"/>
          <w:marRight w:val="0"/>
          <w:marTop w:val="200"/>
          <w:marBottom w:val="0"/>
          <w:divBdr>
            <w:top w:val="none" w:sz="0" w:space="0" w:color="auto"/>
            <w:left w:val="none" w:sz="0" w:space="0" w:color="auto"/>
            <w:bottom w:val="none" w:sz="0" w:space="0" w:color="auto"/>
            <w:right w:val="none" w:sz="0" w:space="0" w:color="auto"/>
          </w:divBdr>
        </w:div>
        <w:div w:id="350571377">
          <w:marLeft w:val="1080"/>
          <w:marRight w:val="0"/>
          <w:marTop w:val="100"/>
          <w:marBottom w:val="0"/>
          <w:divBdr>
            <w:top w:val="none" w:sz="0" w:space="0" w:color="auto"/>
            <w:left w:val="none" w:sz="0" w:space="0" w:color="auto"/>
            <w:bottom w:val="none" w:sz="0" w:space="0" w:color="auto"/>
            <w:right w:val="none" w:sz="0" w:space="0" w:color="auto"/>
          </w:divBdr>
        </w:div>
        <w:div w:id="643778872">
          <w:marLeft w:val="1080"/>
          <w:marRight w:val="0"/>
          <w:marTop w:val="100"/>
          <w:marBottom w:val="0"/>
          <w:divBdr>
            <w:top w:val="none" w:sz="0" w:space="0" w:color="auto"/>
            <w:left w:val="none" w:sz="0" w:space="0" w:color="auto"/>
            <w:bottom w:val="none" w:sz="0" w:space="0" w:color="auto"/>
            <w:right w:val="none" w:sz="0" w:space="0" w:color="auto"/>
          </w:divBdr>
        </w:div>
        <w:div w:id="655497858">
          <w:marLeft w:val="1080"/>
          <w:marRight w:val="0"/>
          <w:marTop w:val="100"/>
          <w:marBottom w:val="0"/>
          <w:divBdr>
            <w:top w:val="none" w:sz="0" w:space="0" w:color="auto"/>
            <w:left w:val="none" w:sz="0" w:space="0" w:color="auto"/>
            <w:bottom w:val="none" w:sz="0" w:space="0" w:color="auto"/>
            <w:right w:val="none" w:sz="0" w:space="0" w:color="auto"/>
          </w:divBdr>
        </w:div>
        <w:div w:id="667943384">
          <w:marLeft w:val="1080"/>
          <w:marRight w:val="0"/>
          <w:marTop w:val="100"/>
          <w:marBottom w:val="0"/>
          <w:divBdr>
            <w:top w:val="none" w:sz="0" w:space="0" w:color="auto"/>
            <w:left w:val="none" w:sz="0" w:space="0" w:color="auto"/>
            <w:bottom w:val="none" w:sz="0" w:space="0" w:color="auto"/>
            <w:right w:val="none" w:sz="0" w:space="0" w:color="auto"/>
          </w:divBdr>
        </w:div>
        <w:div w:id="762340234">
          <w:marLeft w:val="1080"/>
          <w:marRight w:val="0"/>
          <w:marTop w:val="100"/>
          <w:marBottom w:val="0"/>
          <w:divBdr>
            <w:top w:val="none" w:sz="0" w:space="0" w:color="auto"/>
            <w:left w:val="none" w:sz="0" w:space="0" w:color="auto"/>
            <w:bottom w:val="none" w:sz="0" w:space="0" w:color="auto"/>
            <w:right w:val="none" w:sz="0" w:space="0" w:color="auto"/>
          </w:divBdr>
        </w:div>
        <w:div w:id="780221274">
          <w:marLeft w:val="1080"/>
          <w:marRight w:val="0"/>
          <w:marTop w:val="100"/>
          <w:marBottom w:val="0"/>
          <w:divBdr>
            <w:top w:val="none" w:sz="0" w:space="0" w:color="auto"/>
            <w:left w:val="none" w:sz="0" w:space="0" w:color="auto"/>
            <w:bottom w:val="none" w:sz="0" w:space="0" w:color="auto"/>
            <w:right w:val="none" w:sz="0" w:space="0" w:color="auto"/>
          </w:divBdr>
        </w:div>
        <w:div w:id="1075592242">
          <w:marLeft w:val="1080"/>
          <w:marRight w:val="0"/>
          <w:marTop w:val="100"/>
          <w:marBottom w:val="0"/>
          <w:divBdr>
            <w:top w:val="none" w:sz="0" w:space="0" w:color="auto"/>
            <w:left w:val="none" w:sz="0" w:space="0" w:color="auto"/>
            <w:bottom w:val="none" w:sz="0" w:space="0" w:color="auto"/>
            <w:right w:val="none" w:sz="0" w:space="0" w:color="auto"/>
          </w:divBdr>
        </w:div>
        <w:div w:id="1331375554">
          <w:marLeft w:val="360"/>
          <w:marRight w:val="0"/>
          <w:marTop w:val="200"/>
          <w:marBottom w:val="0"/>
          <w:divBdr>
            <w:top w:val="none" w:sz="0" w:space="0" w:color="auto"/>
            <w:left w:val="none" w:sz="0" w:space="0" w:color="auto"/>
            <w:bottom w:val="none" w:sz="0" w:space="0" w:color="auto"/>
            <w:right w:val="none" w:sz="0" w:space="0" w:color="auto"/>
          </w:divBdr>
        </w:div>
        <w:div w:id="144326528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60042280">
      <w:bodyDiv w:val="1"/>
      <w:marLeft w:val="0"/>
      <w:marRight w:val="0"/>
      <w:marTop w:val="0"/>
      <w:marBottom w:val="0"/>
      <w:divBdr>
        <w:top w:val="none" w:sz="0" w:space="0" w:color="auto"/>
        <w:left w:val="none" w:sz="0" w:space="0" w:color="auto"/>
        <w:bottom w:val="none" w:sz="0" w:space="0" w:color="auto"/>
        <w:right w:val="none" w:sz="0" w:space="0" w:color="auto"/>
      </w:divBdr>
      <w:divsChild>
        <w:div w:id="1342195316">
          <w:marLeft w:val="1080"/>
          <w:marRight w:val="0"/>
          <w:marTop w:val="100"/>
          <w:marBottom w:val="0"/>
          <w:divBdr>
            <w:top w:val="none" w:sz="0" w:space="0" w:color="auto"/>
            <w:left w:val="none" w:sz="0" w:space="0" w:color="auto"/>
            <w:bottom w:val="none" w:sz="0" w:space="0" w:color="auto"/>
            <w:right w:val="none" w:sz="0" w:space="0" w:color="auto"/>
          </w:divBdr>
        </w:div>
      </w:divsChild>
    </w:div>
    <w:div w:id="1668173004">
      <w:bodyDiv w:val="1"/>
      <w:marLeft w:val="0"/>
      <w:marRight w:val="0"/>
      <w:marTop w:val="0"/>
      <w:marBottom w:val="0"/>
      <w:divBdr>
        <w:top w:val="none" w:sz="0" w:space="0" w:color="auto"/>
        <w:left w:val="none" w:sz="0" w:space="0" w:color="auto"/>
        <w:bottom w:val="none" w:sz="0" w:space="0" w:color="auto"/>
        <w:right w:val="none" w:sz="0" w:space="0" w:color="auto"/>
      </w:divBdr>
      <w:divsChild>
        <w:div w:id="370423337">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6611853">
      <w:bodyDiv w:val="1"/>
      <w:marLeft w:val="0"/>
      <w:marRight w:val="0"/>
      <w:marTop w:val="0"/>
      <w:marBottom w:val="0"/>
      <w:divBdr>
        <w:top w:val="none" w:sz="0" w:space="0" w:color="auto"/>
        <w:left w:val="none" w:sz="0" w:space="0" w:color="auto"/>
        <w:bottom w:val="none" w:sz="0" w:space="0" w:color="auto"/>
        <w:right w:val="none" w:sz="0" w:space="0" w:color="auto"/>
      </w:divBdr>
      <w:divsChild>
        <w:div w:id="1036152002">
          <w:marLeft w:val="1080"/>
          <w:marRight w:val="0"/>
          <w:marTop w:val="120"/>
          <w:marBottom w:val="120"/>
          <w:divBdr>
            <w:top w:val="none" w:sz="0" w:space="0" w:color="auto"/>
            <w:left w:val="none" w:sz="0" w:space="0" w:color="auto"/>
            <w:bottom w:val="none" w:sz="0" w:space="0" w:color="auto"/>
            <w:right w:val="none" w:sz="0" w:space="0" w:color="auto"/>
          </w:divBdr>
        </w:div>
        <w:div w:id="1877153678">
          <w:marLeft w:val="1800"/>
          <w:marRight w:val="0"/>
          <w:marTop w:val="120"/>
          <w:marBottom w:val="120"/>
          <w:divBdr>
            <w:top w:val="none" w:sz="0" w:space="0" w:color="auto"/>
            <w:left w:val="none" w:sz="0" w:space="0" w:color="auto"/>
            <w:bottom w:val="none" w:sz="0" w:space="0" w:color="auto"/>
            <w:right w:val="none" w:sz="0" w:space="0" w:color="auto"/>
          </w:divBdr>
        </w:div>
        <w:div w:id="1899626560">
          <w:marLeft w:val="1800"/>
          <w:marRight w:val="0"/>
          <w:marTop w:val="120"/>
          <w:marBottom w:val="120"/>
          <w:divBdr>
            <w:top w:val="none" w:sz="0" w:space="0" w:color="auto"/>
            <w:left w:val="none" w:sz="0" w:space="0" w:color="auto"/>
            <w:bottom w:val="none" w:sz="0" w:space="0" w:color="auto"/>
            <w:right w:val="none" w:sz="0" w:space="0" w:color="auto"/>
          </w:divBdr>
        </w:div>
        <w:div w:id="505367887">
          <w:marLeft w:val="1800"/>
          <w:marRight w:val="0"/>
          <w:marTop w:val="120"/>
          <w:marBottom w:val="120"/>
          <w:divBdr>
            <w:top w:val="none" w:sz="0" w:space="0" w:color="auto"/>
            <w:left w:val="none" w:sz="0" w:space="0" w:color="auto"/>
            <w:bottom w:val="none" w:sz="0" w:space="0" w:color="auto"/>
            <w:right w:val="none" w:sz="0" w:space="0" w:color="auto"/>
          </w:divBdr>
        </w:div>
        <w:div w:id="1410497006">
          <w:marLeft w:val="1800"/>
          <w:marRight w:val="0"/>
          <w:marTop w:val="120"/>
          <w:marBottom w:val="120"/>
          <w:divBdr>
            <w:top w:val="none" w:sz="0" w:space="0" w:color="auto"/>
            <w:left w:val="none" w:sz="0" w:space="0" w:color="auto"/>
            <w:bottom w:val="none" w:sz="0" w:space="0" w:color="auto"/>
            <w:right w:val="none" w:sz="0" w:space="0" w:color="auto"/>
          </w:divBdr>
        </w:div>
        <w:div w:id="1534928668">
          <w:marLeft w:val="1800"/>
          <w:marRight w:val="0"/>
          <w:marTop w:val="120"/>
          <w:marBottom w:val="120"/>
          <w:divBdr>
            <w:top w:val="none" w:sz="0" w:space="0" w:color="auto"/>
            <w:left w:val="none" w:sz="0" w:space="0" w:color="auto"/>
            <w:bottom w:val="none" w:sz="0" w:space="0" w:color="auto"/>
            <w:right w:val="none" w:sz="0" w:space="0" w:color="auto"/>
          </w:divBdr>
        </w:div>
      </w:divsChild>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74826515">
      <w:bodyDiv w:val="1"/>
      <w:marLeft w:val="0"/>
      <w:marRight w:val="0"/>
      <w:marTop w:val="0"/>
      <w:marBottom w:val="0"/>
      <w:divBdr>
        <w:top w:val="none" w:sz="0" w:space="0" w:color="auto"/>
        <w:left w:val="none" w:sz="0" w:space="0" w:color="auto"/>
        <w:bottom w:val="none" w:sz="0" w:space="0" w:color="auto"/>
        <w:right w:val="none" w:sz="0" w:space="0" w:color="auto"/>
      </w:divBdr>
      <w:divsChild>
        <w:div w:id="116605615">
          <w:marLeft w:val="1080"/>
          <w:marRight w:val="0"/>
          <w:marTop w:val="100"/>
          <w:marBottom w:val="0"/>
          <w:divBdr>
            <w:top w:val="none" w:sz="0" w:space="0" w:color="auto"/>
            <w:left w:val="none" w:sz="0" w:space="0" w:color="auto"/>
            <w:bottom w:val="none" w:sz="0" w:space="0" w:color="auto"/>
            <w:right w:val="none" w:sz="0" w:space="0" w:color="auto"/>
          </w:divBdr>
        </w:div>
        <w:div w:id="344792581">
          <w:marLeft w:val="1080"/>
          <w:marRight w:val="0"/>
          <w:marTop w:val="100"/>
          <w:marBottom w:val="0"/>
          <w:divBdr>
            <w:top w:val="none" w:sz="0" w:space="0" w:color="auto"/>
            <w:left w:val="none" w:sz="0" w:space="0" w:color="auto"/>
            <w:bottom w:val="none" w:sz="0" w:space="0" w:color="auto"/>
            <w:right w:val="none" w:sz="0" w:space="0" w:color="auto"/>
          </w:divBdr>
        </w:div>
        <w:div w:id="378483100">
          <w:marLeft w:val="360"/>
          <w:marRight w:val="0"/>
          <w:marTop w:val="200"/>
          <w:marBottom w:val="0"/>
          <w:divBdr>
            <w:top w:val="none" w:sz="0" w:space="0" w:color="auto"/>
            <w:left w:val="none" w:sz="0" w:space="0" w:color="auto"/>
            <w:bottom w:val="none" w:sz="0" w:space="0" w:color="auto"/>
            <w:right w:val="none" w:sz="0" w:space="0" w:color="auto"/>
          </w:divBdr>
        </w:div>
        <w:div w:id="1132482636">
          <w:marLeft w:val="1080"/>
          <w:marRight w:val="0"/>
          <w:marTop w:val="100"/>
          <w:marBottom w:val="0"/>
          <w:divBdr>
            <w:top w:val="none" w:sz="0" w:space="0" w:color="auto"/>
            <w:left w:val="none" w:sz="0" w:space="0" w:color="auto"/>
            <w:bottom w:val="none" w:sz="0" w:space="0" w:color="auto"/>
            <w:right w:val="none" w:sz="0" w:space="0" w:color="auto"/>
          </w:divBdr>
        </w:div>
        <w:div w:id="1248147507">
          <w:marLeft w:val="1080"/>
          <w:marRight w:val="0"/>
          <w:marTop w:val="100"/>
          <w:marBottom w:val="0"/>
          <w:divBdr>
            <w:top w:val="none" w:sz="0" w:space="0" w:color="auto"/>
            <w:left w:val="none" w:sz="0" w:space="0" w:color="auto"/>
            <w:bottom w:val="none" w:sz="0" w:space="0" w:color="auto"/>
            <w:right w:val="none" w:sz="0" w:space="0" w:color="auto"/>
          </w:divBdr>
        </w:div>
        <w:div w:id="1300763597">
          <w:marLeft w:val="1080"/>
          <w:marRight w:val="0"/>
          <w:marTop w:val="100"/>
          <w:marBottom w:val="0"/>
          <w:divBdr>
            <w:top w:val="none" w:sz="0" w:space="0" w:color="auto"/>
            <w:left w:val="none" w:sz="0" w:space="0" w:color="auto"/>
            <w:bottom w:val="none" w:sz="0" w:space="0" w:color="auto"/>
            <w:right w:val="none" w:sz="0" w:space="0" w:color="auto"/>
          </w:divBdr>
        </w:div>
        <w:div w:id="1427581044">
          <w:marLeft w:val="1080"/>
          <w:marRight w:val="0"/>
          <w:marTop w:val="100"/>
          <w:marBottom w:val="0"/>
          <w:divBdr>
            <w:top w:val="none" w:sz="0" w:space="0" w:color="auto"/>
            <w:left w:val="none" w:sz="0" w:space="0" w:color="auto"/>
            <w:bottom w:val="none" w:sz="0" w:space="0" w:color="auto"/>
            <w:right w:val="none" w:sz="0" w:space="0" w:color="auto"/>
          </w:divBdr>
        </w:div>
        <w:div w:id="1591814573">
          <w:marLeft w:val="1080"/>
          <w:marRight w:val="0"/>
          <w:marTop w:val="100"/>
          <w:marBottom w:val="0"/>
          <w:divBdr>
            <w:top w:val="none" w:sz="0" w:space="0" w:color="auto"/>
            <w:left w:val="none" w:sz="0" w:space="0" w:color="auto"/>
            <w:bottom w:val="none" w:sz="0" w:space="0" w:color="auto"/>
            <w:right w:val="none" w:sz="0" w:space="0" w:color="auto"/>
          </w:divBdr>
        </w:div>
        <w:div w:id="1653176831">
          <w:marLeft w:val="360"/>
          <w:marRight w:val="0"/>
          <w:marTop w:val="200"/>
          <w:marBottom w:val="0"/>
          <w:divBdr>
            <w:top w:val="none" w:sz="0" w:space="0" w:color="auto"/>
            <w:left w:val="none" w:sz="0" w:space="0" w:color="auto"/>
            <w:bottom w:val="none" w:sz="0" w:space="0" w:color="auto"/>
            <w:right w:val="none" w:sz="0" w:space="0" w:color="auto"/>
          </w:divBdr>
        </w:div>
        <w:div w:id="1946113305">
          <w:marLeft w:val="1080"/>
          <w:marRight w:val="0"/>
          <w:marTop w:val="100"/>
          <w:marBottom w:val="0"/>
          <w:divBdr>
            <w:top w:val="none" w:sz="0" w:space="0" w:color="auto"/>
            <w:left w:val="none" w:sz="0" w:space="0" w:color="auto"/>
            <w:bottom w:val="none" w:sz="0" w:space="0" w:color="auto"/>
            <w:right w:val="none" w:sz="0" w:space="0" w:color="auto"/>
          </w:divBdr>
        </w:div>
      </w:divsChild>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098092790">
      <w:bodyDiv w:val="1"/>
      <w:marLeft w:val="0"/>
      <w:marRight w:val="0"/>
      <w:marTop w:val="0"/>
      <w:marBottom w:val="0"/>
      <w:divBdr>
        <w:top w:val="none" w:sz="0" w:space="0" w:color="auto"/>
        <w:left w:val="none" w:sz="0" w:space="0" w:color="auto"/>
        <w:bottom w:val="none" w:sz="0" w:space="0" w:color="auto"/>
        <w:right w:val="none" w:sz="0" w:space="0" w:color="auto"/>
      </w:divBdr>
      <w:divsChild>
        <w:div w:id="447356604">
          <w:marLeft w:val="1080"/>
          <w:marRight w:val="0"/>
          <w:marTop w:val="100"/>
          <w:marBottom w:val="0"/>
          <w:divBdr>
            <w:top w:val="none" w:sz="0" w:space="0" w:color="auto"/>
            <w:left w:val="none" w:sz="0" w:space="0" w:color="auto"/>
            <w:bottom w:val="none" w:sz="0" w:space="0" w:color="auto"/>
            <w:right w:val="none" w:sz="0" w:space="0" w:color="auto"/>
          </w:divBdr>
        </w:div>
        <w:div w:id="586235728">
          <w:marLeft w:val="360"/>
          <w:marRight w:val="0"/>
          <w:marTop w:val="200"/>
          <w:marBottom w:val="0"/>
          <w:divBdr>
            <w:top w:val="none" w:sz="0" w:space="0" w:color="auto"/>
            <w:left w:val="none" w:sz="0" w:space="0" w:color="auto"/>
            <w:bottom w:val="none" w:sz="0" w:space="0" w:color="auto"/>
            <w:right w:val="none" w:sz="0" w:space="0" w:color="auto"/>
          </w:divBdr>
        </w:div>
        <w:div w:id="659577314">
          <w:marLeft w:val="1800"/>
          <w:marRight w:val="0"/>
          <w:marTop w:val="100"/>
          <w:marBottom w:val="0"/>
          <w:divBdr>
            <w:top w:val="none" w:sz="0" w:space="0" w:color="auto"/>
            <w:left w:val="none" w:sz="0" w:space="0" w:color="auto"/>
            <w:bottom w:val="none" w:sz="0" w:space="0" w:color="auto"/>
            <w:right w:val="none" w:sz="0" w:space="0" w:color="auto"/>
          </w:divBdr>
        </w:div>
        <w:div w:id="959185485">
          <w:marLeft w:val="1080"/>
          <w:marRight w:val="0"/>
          <w:marTop w:val="100"/>
          <w:marBottom w:val="0"/>
          <w:divBdr>
            <w:top w:val="none" w:sz="0" w:space="0" w:color="auto"/>
            <w:left w:val="none" w:sz="0" w:space="0" w:color="auto"/>
            <w:bottom w:val="none" w:sz="0" w:space="0" w:color="auto"/>
            <w:right w:val="none" w:sz="0" w:space="0" w:color="auto"/>
          </w:divBdr>
        </w:div>
        <w:div w:id="1018853421">
          <w:marLeft w:val="1080"/>
          <w:marRight w:val="0"/>
          <w:marTop w:val="100"/>
          <w:marBottom w:val="0"/>
          <w:divBdr>
            <w:top w:val="none" w:sz="0" w:space="0" w:color="auto"/>
            <w:left w:val="none" w:sz="0" w:space="0" w:color="auto"/>
            <w:bottom w:val="none" w:sz="0" w:space="0" w:color="auto"/>
            <w:right w:val="none" w:sz="0" w:space="0" w:color="auto"/>
          </w:divBdr>
        </w:div>
        <w:div w:id="1363287106">
          <w:marLeft w:val="1080"/>
          <w:marRight w:val="0"/>
          <w:marTop w:val="100"/>
          <w:marBottom w:val="0"/>
          <w:divBdr>
            <w:top w:val="none" w:sz="0" w:space="0" w:color="auto"/>
            <w:left w:val="none" w:sz="0" w:space="0" w:color="auto"/>
            <w:bottom w:val="none" w:sz="0" w:space="0" w:color="auto"/>
            <w:right w:val="none" w:sz="0" w:space="0" w:color="auto"/>
          </w:divBdr>
        </w:div>
        <w:div w:id="1554190872">
          <w:marLeft w:val="1080"/>
          <w:marRight w:val="0"/>
          <w:marTop w:val="100"/>
          <w:marBottom w:val="0"/>
          <w:divBdr>
            <w:top w:val="none" w:sz="0" w:space="0" w:color="auto"/>
            <w:left w:val="none" w:sz="0" w:space="0" w:color="auto"/>
            <w:bottom w:val="none" w:sz="0" w:space="0" w:color="auto"/>
            <w:right w:val="none" w:sz="0" w:space="0" w:color="auto"/>
          </w:divBdr>
        </w:div>
        <w:div w:id="1675717233">
          <w:marLeft w:val="360"/>
          <w:marRight w:val="0"/>
          <w:marTop w:val="200"/>
          <w:marBottom w:val="0"/>
          <w:divBdr>
            <w:top w:val="none" w:sz="0" w:space="0" w:color="auto"/>
            <w:left w:val="none" w:sz="0" w:space="0" w:color="auto"/>
            <w:bottom w:val="none" w:sz="0" w:space="0" w:color="auto"/>
            <w:right w:val="none" w:sz="0" w:space="0" w:color="auto"/>
          </w:divBdr>
        </w:div>
        <w:div w:id="1743479888">
          <w:marLeft w:val="360"/>
          <w:marRight w:val="0"/>
          <w:marTop w:val="200"/>
          <w:marBottom w:val="0"/>
          <w:divBdr>
            <w:top w:val="none" w:sz="0" w:space="0" w:color="auto"/>
            <w:left w:val="none" w:sz="0" w:space="0" w:color="auto"/>
            <w:bottom w:val="none" w:sz="0" w:space="0" w:color="auto"/>
            <w:right w:val="none" w:sz="0" w:space="0" w:color="auto"/>
          </w:divBdr>
        </w:div>
        <w:div w:id="1897618999">
          <w:marLeft w:val="1080"/>
          <w:marRight w:val="0"/>
          <w:marTop w:val="100"/>
          <w:marBottom w:val="0"/>
          <w:divBdr>
            <w:top w:val="none" w:sz="0" w:space="0" w:color="auto"/>
            <w:left w:val="none" w:sz="0" w:space="0" w:color="auto"/>
            <w:bottom w:val="none" w:sz="0" w:space="0" w:color="auto"/>
            <w:right w:val="none" w:sz="0" w:space="0" w:color="auto"/>
          </w:divBdr>
        </w:div>
        <w:div w:id="1980379929">
          <w:marLeft w:val="1080"/>
          <w:marRight w:val="0"/>
          <w:marTop w:val="100"/>
          <w:marBottom w:val="0"/>
          <w:divBdr>
            <w:top w:val="none" w:sz="0" w:space="0" w:color="auto"/>
            <w:left w:val="none" w:sz="0" w:space="0" w:color="auto"/>
            <w:bottom w:val="none" w:sz="0" w:space="0" w:color="auto"/>
            <w:right w:val="none" w:sz="0" w:space="0" w:color="auto"/>
          </w:divBdr>
        </w:div>
        <w:div w:id="2053921460">
          <w:marLeft w:val="1080"/>
          <w:marRight w:val="0"/>
          <w:marTop w:val="100"/>
          <w:marBottom w:val="0"/>
          <w:divBdr>
            <w:top w:val="none" w:sz="0" w:space="0" w:color="auto"/>
            <w:left w:val="none" w:sz="0" w:space="0" w:color="auto"/>
            <w:bottom w:val="none" w:sz="0" w:space="0" w:color="auto"/>
            <w:right w:val="none" w:sz="0" w:space="0" w:color="auto"/>
          </w:divBdr>
        </w:div>
      </w:divsChild>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12314-40BF-4F83-9905-ACB2E8BD0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4</Pages>
  <Words>1334</Words>
  <Characters>7605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임수환/책임연구원/차세대표준(연)ACS팀(suhwan.lim@lge.com)</cp:lastModifiedBy>
  <cp:revision>21</cp:revision>
  <cp:lastPrinted>2013-04-01T03:20:00Z</cp:lastPrinted>
  <dcterms:created xsi:type="dcterms:W3CDTF">2017-11-17T09:51:00Z</dcterms:created>
  <dcterms:modified xsi:type="dcterms:W3CDTF">2018-01-15T08:01:00Z</dcterms:modified>
</cp:coreProperties>
</file>